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3A342" w14:textId="460EE117" w:rsidR="009E6740" w:rsidRPr="005A7FE7" w:rsidRDefault="00E24F0A"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r>
        <w:rPr>
          <w:bCs/>
          <w:sz w:val="56"/>
          <w:szCs w:val="56"/>
          <w:shd w:val="clear" w:color="auto" w:fill="FFFFFF"/>
        </w:rPr>
        <w:t>Salifort Motors</w:t>
      </w:r>
      <w:r w:rsidR="00845CDD" w:rsidRPr="005A7FE7">
        <w:rPr>
          <w:bCs/>
          <w:sz w:val="56"/>
          <w:szCs w:val="56"/>
          <w:shd w:val="clear" w:color="auto" w:fill="FFFFFF"/>
        </w:rPr>
        <w:t xml:space="preserve"> / </w:t>
      </w:r>
      <w:r w:rsidR="004A3ECC">
        <w:rPr>
          <w:bCs/>
          <w:sz w:val="56"/>
          <w:szCs w:val="56"/>
          <w:shd w:val="clear" w:color="auto" w:fill="FFFFFF"/>
        </w:rPr>
        <w:t xml:space="preserve">Employees Likely </w:t>
      </w:r>
      <w:r w:rsidR="00E02FA6">
        <w:rPr>
          <w:bCs/>
          <w:sz w:val="56"/>
          <w:szCs w:val="56"/>
          <w:shd w:val="clear" w:color="auto" w:fill="FFFFFF"/>
        </w:rPr>
        <w:t>To</w:t>
      </w:r>
      <w:r w:rsidR="004A3ECC">
        <w:rPr>
          <w:bCs/>
          <w:sz w:val="56"/>
          <w:szCs w:val="56"/>
          <w:shd w:val="clear" w:color="auto" w:fill="FFFFFF"/>
        </w:rPr>
        <w:t xml:space="preserve"> </w:t>
      </w:r>
      <w:r w:rsidR="00E02FA6">
        <w:rPr>
          <w:bCs/>
          <w:sz w:val="56"/>
          <w:szCs w:val="56"/>
          <w:shd w:val="clear" w:color="auto" w:fill="FFFFFF"/>
        </w:rPr>
        <w:t>Quit</w:t>
      </w:r>
    </w:p>
    <w:p w14:paraId="44D1891C" w14:textId="01425B32" w:rsidR="00F51711" w:rsidRPr="00D662CF" w:rsidRDefault="00EE4E37" w:rsidP="00D662CF">
      <w:pPr>
        <w:pStyle w:val="Subtitle"/>
        <w:rPr>
          <w:b/>
          <w:i w:val="0"/>
          <w:color w:val="7F7F7F" w:themeColor="text1" w:themeTint="80"/>
          <w:sz w:val="26"/>
          <w:szCs w:val="26"/>
        </w:rPr>
      </w:pPr>
      <w:r w:rsidRPr="00EE4E37">
        <w:rPr>
          <w:rStyle w:val="SubtleEmphasis"/>
          <w:i w:val="0"/>
          <w:iCs/>
        </w:rPr>
        <w:t>EXECUTIVE SUMMARY</w:t>
      </w:r>
    </w:p>
    <w:p w14:paraId="65970EF7" w14:textId="1F7F29B4" w:rsidR="008022EA" w:rsidRPr="00ED5031" w:rsidRDefault="00AB0FEF" w:rsidP="004A3ECC">
      <w:pPr>
        <w:pStyle w:val="Heading1"/>
        <w:numPr>
          <w:ilvl w:val="0"/>
          <w:numId w:val="0"/>
        </w:numPr>
        <w:rPr>
          <w:rFonts w:asciiTheme="minorHAnsi" w:eastAsiaTheme="minorHAnsi" w:hAnsiTheme="minorHAnsi" w:cstheme="minorBidi"/>
          <w:b w:val="0"/>
          <w:color w:val="auto"/>
          <w:sz w:val="22"/>
          <w:szCs w:val="22"/>
        </w:rPr>
      </w:pPr>
      <w:bookmarkStart w:id="0" w:name="_Toc454820996"/>
      <w:r>
        <w:rPr>
          <w:shd w:val="clear" w:color="auto" w:fill="FFFFFF"/>
        </w:rPr>
        <w:t xml:space="preserve">Overview - </w:t>
      </w:r>
      <w:bookmarkEnd w:id="0"/>
      <w:r w:rsidR="006E19CB" w:rsidRPr="00ED5031">
        <w:rPr>
          <w:rFonts w:asciiTheme="minorHAnsi" w:eastAsiaTheme="minorHAnsi" w:hAnsiTheme="minorHAnsi" w:cstheme="minorBidi"/>
          <w:b w:val="0"/>
          <w:color w:val="auto"/>
          <w:sz w:val="22"/>
          <w:szCs w:val="22"/>
        </w:rPr>
        <w:t xml:space="preserve">Analyzed employee data from Salifort Motors to identify the key drivers of turnover and </w:t>
      </w:r>
      <w:r w:rsidR="006E19CB" w:rsidRPr="00ED5031">
        <w:rPr>
          <w:rFonts w:asciiTheme="minorHAnsi" w:eastAsiaTheme="minorHAnsi" w:hAnsiTheme="minorHAnsi" w:cstheme="minorBidi"/>
          <w:b w:val="0"/>
          <w:color w:val="auto"/>
          <w:sz w:val="22"/>
          <w:szCs w:val="22"/>
        </w:rPr>
        <w:t>build</w:t>
      </w:r>
      <w:r w:rsidR="006E19CB" w:rsidRPr="00ED5031">
        <w:rPr>
          <w:rFonts w:asciiTheme="minorHAnsi" w:eastAsiaTheme="minorHAnsi" w:hAnsiTheme="minorHAnsi" w:cstheme="minorBidi"/>
          <w:b w:val="0"/>
          <w:color w:val="auto"/>
          <w:sz w:val="22"/>
          <w:szCs w:val="22"/>
        </w:rPr>
        <w:t xml:space="preserve"> a predictive model to flag at-risk employees. Discovered patterns of overwork and distinct turnover profiles, providing HR with targeted, data-driven strategies to boost retention and satisfaction.</w:t>
      </w:r>
    </w:p>
    <w:p w14:paraId="59A5334F" w14:textId="77777777" w:rsidR="003530C2" w:rsidRPr="005C0B69" w:rsidRDefault="003530C2" w:rsidP="005C0B69">
      <w:pPr>
        <w:ind w:left="720"/>
        <w:rPr>
          <w:color w:val="3A5D9C" w:themeColor="accent1"/>
        </w:rPr>
      </w:pPr>
    </w:p>
    <w:p w14:paraId="6F25FD28" w14:textId="77777777" w:rsidR="008D12F6" w:rsidRDefault="008D12F6" w:rsidP="00F2758B">
      <w:pPr>
        <w:pStyle w:val="Heading1"/>
        <w:numPr>
          <w:ilvl w:val="0"/>
          <w:numId w:val="0"/>
        </w:numPr>
      </w:pPr>
      <w:bookmarkStart w:id="1" w:name="_Toc454820997"/>
      <w:r>
        <w:t>The Problem</w:t>
      </w:r>
      <w:bookmarkEnd w:id="1"/>
    </w:p>
    <w:p w14:paraId="55EBDAE6" w14:textId="76A24497" w:rsidR="003530C2" w:rsidRDefault="006B27DA" w:rsidP="003530C2">
      <w:r w:rsidRPr="006B27DA">
        <w:t xml:space="preserve">Salifort Motors is experiencing employee turnover but lacks a clear understanding of what drives employees to leave. Without this insight, HR cannot effectively address the root causes or proactively retain talent. </w:t>
      </w:r>
      <w:r w:rsidR="00557FD8" w:rsidRPr="006B27DA">
        <w:t>Turnover impacts productivity</w:t>
      </w:r>
      <w:r w:rsidRPr="006B27DA">
        <w:t xml:space="preserve"> increases recruitment and training </w:t>
      </w:r>
      <w:r w:rsidR="004D5FAC" w:rsidRPr="006B27DA">
        <w:t>costs and</w:t>
      </w:r>
      <w:r w:rsidRPr="006B27DA">
        <w:t xml:space="preserve"> can lower overall employee morale. This is a </w:t>
      </w:r>
      <w:r w:rsidRPr="006B27DA">
        <w:rPr>
          <w:b/>
          <w:bCs/>
        </w:rPr>
        <w:t>significant problem</w:t>
      </w:r>
      <w:r w:rsidRPr="006B27DA">
        <w:t xml:space="preserve"> because retaining skilled employees is critical to maintaining operational efficiency, protecting institutional knowledge, and sustaining employee satisfaction.</w:t>
      </w:r>
    </w:p>
    <w:p w14:paraId="41C0B7E4" w14:textId="77777777" w:rsidR="002636AE" w:rsidRDefault="002636AE" w:rsidP="003530C2"/>
    <w:p w14:paraId="35FC0254" w14:textId="561F3B13" w:rsidR="002636AE" w:rsidRPr="002636AE" w:rsidRDefault="002636AE" w:rsidP="002636AE">
      <w:r w:rsidRPr="002636AE">
        <w:t xml:space="preserve">The analysis revealed that, </w:t>
      </w:r>
      <w:r w:rsidR="004D5FAC" w:rsidRPr="002636AE">
        <w:t>except for</w:t>
      </w:r>
      <w:r w:rsidRPr="002636AE">
        <w:t xml:space="preserve"> employees working on two projects, all </w:t>
      </w:r>
      <w:proofErr w:type="gramStart"/>
      <w:r w:rsidRPr="002636AE">
        <w:t>groups—</w:t>
      </w:r>
      <w:proofErr w:type="gramEnd"/>
      <w:r w:rsidRPr="002636AE">
        <w:t>including those who stayed—consistently exceeded this benchmark, indicating a pattern of overwork.</w:t>
      </w:r>
    </w:p>
    <w:p w14:paraId="1FF21BAC" w14:textId="77777777" w:rsidR="002636AE" w:rsidRPr="002636AE" w:rsidRDefault="002636AE" w:rsidP="002636AE">
      <w:r w:rsidRPr="002636AE">
        <w:t>The findings highlighted two main profiles of employees who left:</w:t>
      </w:r>
    </w:p>
    <w:p w14:paraId="261C5015" w14:textId="77777777" w:rsidR="002636AE" w:rsidRPr="002636AE" w:rsidRDefault="002636AE" w:rsidP="002636AE">
      <w:pPr>
        <w:numPr>
          <w:ilvl w:val="0"/>
          <w:numId w:val="13"/>
        </w:numPr>
      </w:pPr>
      <w:r w:rsidRPr="002636AE">
        <w:rPr>
          <w:b/>
          <w:bCs/>
        </w:rPr>
        <w:t>Dissatisfied employees with shorter tenures</w:t>
      </w:r>
    </w:p>
    <w:p w14:paraId="2738EAC1" w14:textId="77777777" w:rsidR="002636AE" w:rsidRPr="002636AE" w:rsidRDefault="002636AE" w:rsidP="002636AE">
      <w:pPr>
        <w:numPr>
          <w:ilvl w:val="0"/>
          <w:numId w:val="13"/>
        </w:numPr>
      </w:pPr>
      <w:r w:rsidRPr="002636AE">
        <w:rPr>
          <w:b/>
          <w:bCs/>
        </w:rPr>
        <w:t>Highly satisfied employees with medium-length tenures</w:t>
      </w:r>
    </w:p>
    <w:p w14:paraId="1D47C393" w14:textId="77777777" w:rsidR="00EB3393" w:rsidRPr="00EB3393" w:rsidRDefault="00EB3393" w:rsidP="00EB3393">
      <w:r w:rsidRPr="00EB3393">
        <w:t>A scatterplot analysis further identified two turnover risk groups:</w:t>
      </w:r>
    </w:p>
    <w:p w14:paraId="6526A50F" w14:textId="77777777" w:rsidR="00EB3393" w:rsidRPr="00EB3393" w:rsidRDefault="00EB3393" w:rsidP="00EB3393">
      <w:pPr>
        <w:numPr>
          <w:ilvl w:val="0"/>
          <w:numId w:val="15"/>
        </w:numPr>
      </w:pPr>
      <w:r w:rsidRPr="00EB3393">
        <w:t>Overworked, high-performing employees</w:t>
      </w:r>
    </w:p>
    <w:p w14:paraId="1697154E" w14:textId="77777777" w:rsidR="00EB3393" w:rsidRPr="00EB3393" w:rsidRDefault="00EB3393" w:rsidP="00EB3393">
      <w:pPr>
        <w:numPr>
          <w:ilvl w:val="0"/>
          <w:numId w:val="15"/>
        </w:numPr>
      </w:pPr>
      <w:r w:rsidRPr="00EB3393">
        <w:t>Employees working slightly below the nominal average monthly hours but with lower evaluation scores</w:t>
      </w:r>
    </w:p>
    <w:p w14:paraId="6757481E" w14:textId="77777777" w:rsidR="002636AE" w:rsidRPr="00971143" w:rsidRDefault="002636AE" w:rsidP="003530C2"/>
    <w:p w14:paraId="5ACD698C" w14:textId="77777777" w:rsidR="008D12F6" w:rsidRDefault="008D12F6" w:rsidP="00F2758B">
      <w:pPr>
        <w:pStyle w:val="Heading1"/>
        <w:numPr>
          <w:ilvl w:val="0"/>
          <w:numId w:val="0"/>
        </w:numPr>
      </w:pPr>
      <w:bookmarkStart w:id="2" w:name="_Toc454820998"/>
      <w:r>
        <w:t>The Solution</w:t>
      </w:r>
      <w:bookmarkEnd w:id="2"/>
    </w:p>
    <w:p w14:paraId="42669D83" w14:textId="713445D6" w:rsidR="00C73F15" w:rsidRPr="00C73F15" w:rsidRDefault="006B3254" w:rsidP="00C73F15">
      <w:r w:rsidRPr="006B3254">
        <w:t xml:space="preserve">It appears that employees are leaving the company </w:t>
      </w:r>
      <w:r w:rsidRPr="006B3254">
        <w:t>because of</w:t>
      </w:r>
      <w:r w:rsidRPr="006B3254">
        <w:t xml:space="preserve"> poor management. Leaving is tied to longer working hours, many projects, and generally lower satisfaction levels. It can be ungratifying to work long hours and not receive promotions or good evaluation scores. There's a sizeable group of employees at this company who are probably burned out. It also appears that if an employee has spent more than six years at the company, they tend not to leave.</w:t>
      </w:r>
    </w:p>
    <w:p w14:paraId="383FEDBD" w14:textId="7E492CF1" w:rsidR="00890C57" w:rsidRPr="00437C83" w:rsidRDefault="00890C57" w:rsidP="00890C57">
      <w:pPr>
        <w:spacing w:before="240"/>
        <w:rPr>
          <w:rFonts w:ascii="Helvetica" w:eastAsia="Times New Roman" w:hAnsi="Helvetica" w:cs="Helvetica"/>
          <w:color w:val="000000"/>
          <w:sz w:val="21"/>
          <w:szCs w:val="21"/>
        </w:rPr>
      </w:pPr>
      <w:bookmarkStart w:id="3" w:name="_Toc454820999"/>
      <w:r w:rsidRPr="00437C83">
        <w:rPr>
          <w:rFonts w:ascii="Helvetica" w:eastAsia="Times New Roman" w:hAnsi="Helvetica" w:cs="Helvetica"/>
          <w:color w:val="000000"/>
          <w:sz w:val="21"/>
          <w:szCs w:val="21"/>
        </w:rPr>
        <w:t xml:space="preserve">To retain employees, </w:t>
      </w:r>
      <w:r>
        <w:rPr>
          <w:rFonts w:ascii="Helvetica" w:eastAsia="Times New Roman" w:hAnsi="Helvetica" w:cs="Helvetica"/>
          <w:color w:val="000000"/>
          <w:sz w:val="21"/>
          <w:szCs w:val="21"/>
        </w:rPr>
        <w:t>I recommend the following</w:t>
      </w:r>
      <w:r w:rsidRPr="00437C83">
        <w:rPr>
          <w:rFonts w:ascii="Helvetica" w:eastAsia="Times New Roman" w:hAnsi="Helvetica" w:cs="Helvetica"/>
          <w:color w:val="000000"/>
          <w:sz w:val="21"/>
          <w:szCs w:val="21"/>
        </w:rPr>
        <w:t>:</w:t>
      </w:r>
    </w:p>
    <w:p w14:paraId="0790359E" w14:textId="77777777" w:rsidR="00890C57" w:rsidRPr="00437C83" w:rsidRDefault="00890C57" w:rsidP="00890C57">
      <w:pPr>
        <w:numPr>
          <w:ilvl w:val="0"/>
          <w:numId w:val="16"/>
        </w:numPr>
        <w:spacing w:before="100" w:beforeAutospacing="1" w:after="100" w:afterAutospacing="1"/>
        <w:rPr>
          <w:rFonts w:ascii="Helvetica" w:eastAsia="Times New Roman" w:hAnsi="Helvetica" w:cs="Helvetica"/>
          <w:color w:val="000000"/>
          <w:sz w:val="21"/>
          <w:szCs w:val="21"/>
        </w:rPr>
      </w:pPr>
      <w:r w:rsidRPr="00437C83">
        <w:rPr>
          <w:rFonts w:ascii="Helvetica" w:eastAsia="Times New Roman" w:hAnsi="Helvetica" w:cs="Helvetica"/>
          <w:color w:val="000000"/>
          <w:sz w:val="21"/>
          <w:szCs w:val="21"/>
        </w:rPr>
        <w:t>Cap the number of projects that employees can work on.</w:t>
      </w:r>
    </w:p>
    <w:p w14:paraId="4265AC97" w14:textId="7B086839" w:rsidR="00890C57" w:rsidRPr="00437C83" w:rsidRDefault="00890C57" w:rsidP="00890C57">
      <w:pPr>
        <w:numPr>
          <w:ilvl w:val="0"/>
          <w:numId w:val="16"/>
        </w:numPr>
        <w:spacing w:before="100" w:beforeAutospacing="1" w:after="100" w:afterAutospacing="1"/>
        <w:rPr>
          <w:rFonts w:ascii="Helvetica" w:eastAsia="Times New Roman" w:hAnsi="Helvetica" w:cs="Helvetica"/>
          <w:color w:val="000000"/>
          <w:sz w:val="21"/>
          <w:szCs w:val="21"/>
        </w:rPr>
      </w:pPr>
      <w:r w:rsidRPr="00437C83">
        <w:rPr>
          <w:rFonts w:ascii="Helvetica" w:eastAsia="Times New Roman" w:hAnsi="Helvetica" w:cs="Helvetica"/>
          <w:color w:val="000000"/>
          <w:sz w:val="21"/>
          <w:szCs w:val="21"/>
        </w:rPr>
        <w:t xml:space="preserve">Consider promoting employees who have been with the company for </w:t>
      </w:r>
      <w:r w:rsidR="004D5FAC" w:rsidRPr="00437C83">
        <w:rPr>
          <w:rFonts w:ascii="Helvetica" w:eastAsia="Times New Roman" w:hAnsi="Helvetica" w:cs="Helvetica"/>
          <w:color w:val="000000"/>
          <w:sz w:val="21"/>
          <w:szCs w:val="21"/>
        </w:rPr>
        <w:t>at least</w:t>
      </w:r>
      <w:r w:rsidRPr="00437C83">
        <w:rPr>
          <w:rFonts w:ascii="Helvetica" w:eastAsia="Times New Roman" w:hAnsi="Helvetica" w:cs="Helvetica"/>
          <w:color w:val="000000"/>
          <w:sz w:val="21"/>
          <w:szCs w:val="21"/>
        </w:rPr>
        <w:t xml:space="preserve"> four </w:t>
      </w:r>
      <w:r w:rsidR="004E1740" w:rsidRPr="00437C83">
        <w:rPr>
          <w:rFonts w:ascii="Helvetica" w:eastAsia="Times New Roman" w:hAnsi="Helvetica" w:cs="Helvetica"/>
          <w:color w:val="000000"/>
          <w:sz w:val="21"/>
          <w:szCs w:val="21"/>
        </w:rPr>
        <w:t>years or</w:t>
      </w:r>
      <w:r w:rsidRPr="00437C83">
        <w:rPr>
          <w:rFonts w:ascii="Helvetica" w:eastAsia="Times New Roman" w:hAnsi="Helvetica" w:cs="Helvetica"/>
          <w:color w:val="000000"/>
          <w:sz w:val="21"/>
          <w:szCs w:val="21"/>
        </w:rPr>
        <w:t xml:space="preserve"> conduct further investigation </w:t>
      </w:r>
      <w:r w:rsidR="004D5FAC" w:rsidRPr="00437C83">
        <w:rPr>
          <w:rFonts w:ascii="Helvetica" w:eastAsia="Times New Roman" w:hAnsi="Helvetica" w:cs="Helvetica"/>
          <w:color w:val="000000"/>
          <w:sz w:val="21"/>
          <w:szCs w:val="21"/>
        </w:rPr>
        <w:t>into</w:t>
      </w:r>
      <w:r w:rsidRPr="00437C83">
        <w:rPr>
          <w:rFonts w:ascii="Helvetica" w:eastAsia="Times New Roman" w:hAnsi="Helvetica" w:cs="Helvetica"/>
          <w:color w:val="000000"/>
          <w:sz w:val="21"/>
          <w:szCs w:val="21"/>
        </w:rPr>
        <w:t xml:space="preserve"> why </w:t>
      </w:r>
      <w:r w:rsidR="008A2355" w:rsidRPr="00437C83">
        <w:rPr>
          <w:rFonts w:ascii="Helvetica" w:eastAsia="Times New Roman" w:hAnsi="Helvetica" w:cs="Helvetica"/>
          <w:color w:val="000000"/>
          <w:sz w:val="21"/>
          <w:szCs w:val="21"/>
        </w:rPr>
        <w:t>four</w:t>
      </w:r>
      <w:r w:rsidR="008A2355">
        <w:rPr>
          <w:rFonts w:ascii="Helvetica" w:eastAsia="Times New Roman" w:hAnsi="Helvetica" w:cs="Helvetica"/>
          <w:color w:val="000000"/>
          <w:sz w:val="21"/>
          <w:szCs w:val="21"/>
        </w:rPr>
        <w:t>-</w:t>
      </w:r>
      <w:proofErr w:type="gramStart"/>
      <w:r w:rsidR="008A2355">
        <w:rPr>
          <w:rFonts w:ascii="Helvetica" w:eastAsia="Times New Roman" w:hAnsi="Helvetica" w:cs="Helvetica"/>
          <w:color w:val="000000"/>
          <w:sz w:val="21"/>
          <w:szCs w:val="21"/>
        </w:rPr>
        <w:t>year</w:t>
      </w:r>
      <w:r w:rsidRPr="00437C83">
        <w:rPr>
          <w:rFonts w:ascii="Helvetica" w:eastAsia="Times New Roman" w:hAnsi="Helvetica" w:cs="Helvetica"/>
          <w:color w:val="000000"/>
          <w:sz w:val="21"/>
          <w:szCs w:val="21"/>
        </w:rPr>
        <w:t xml:space="preserve"> tenured</w:t>
      </w:r>
      <w:proofErr w:type="gramEnd"/>
      <w:r w:rsidRPr="00437C83">
        <w:rPr>
          <w:rFonts w:ascii="Helvetica" w:eastAsia="Times New Roman" w:hAnsi="Helvetica" w:cs="Helvetica"/>
          <w:color w:val="000000"/>
          <w:sz w:val="21"/>
          <w:szCs w:val="21"/>
        </w:rPr>
        <w:t xml:space="preserve"> employees are so dissatisfied.</w:t>
      </w:r>
    </w:p>
    <w:p w14:paraId="519AED8D" w14:textId="77777777" w:rsidR="00890C57" w:rsidRPr="00437C83" w:rsidRDefault="00890C57" w:rsidP="00890C57">
      <w:pPr>
        <w:numPr>
          <w:ilvl w:val="0"/>
          <w:numId w:val="16"/>
        </w:numPr>
        <w:spacing w:before="100" w:beforeAutospacing="1" w:after="100" w:afterAutospacing="1"/>
        <w:rPr>
          <w:rFonts w:ascii="Helvetica" w:eastAsia="Times New Roman" w:hAnsi="Helvetica" w:cs="Helvetica"/>
          <w:color w:val="000000"/>
          <w:sz w:val="21"/>
          <w:szCs w:val="21"/>
        </w:rPr>
      </w:pPr>
      <w:r w:rsidRPr="00437C83">
        <w:rPr>
          <w:rFonts w:ascii="Helvetica" w:eastAsia="Times New Roman" w:hAnsi="Helvetica" w:cs="Helvetica"/>
          <w:color w:val="000000"/>
          <w:sz w:val="21"/>
          <w:szCs w:val="21"/>
        </w:rPr>
        <w:t>Either reward employees for working longer hours, or don't require them to do so.</w:t>
      </w:r>
    </w:p>
    <w:p w14:paraId="3F982C1D" w14:textId="77777777" w:rsidR="00890C57" w:rsidRPr="00437C83" w:rsidRDefault="00890C57" w:rsidP="00890C57">
      <w:pPr>
        <w:numPr>
          <w:ilvl w:val="0"/>
          <w:numId w:val="16"/>
        </w:numPr>
        <w:spacing w:before="100" w:beforeAutospacing="1" w:after="100" w:afterAutospacing="1"/>
        <w:rPr>
          <w:rFonts w:ascii="Helvetica" w:eastAsia="Times New Roman" w:hAnsi="Helvetica" w:cs="Helvetica"/>
          <w:color w:val="000000"/>
          <w:sz w:val="21"/>
          <w:szCs w:val="21"/>
        </w:rPr>
      </w:pPr>
      <w:r w:rsidRPr="00437C83">
        <w:rPr>
          <w:rFonts w:ascii="Helvetica" w:eastAsia="Times New Roman" w:hAnsi="Helvetica" w:cs="Helvetica"/>
          <w:color w:val="000000"/>
          <w:sz w:val="21"/>
          <w:szCs w:val="21"/>
        </w:rPr>
        <w:t>If employees aren't familiar with the company's overtime pay policies, inform them about this. If the expectations around workload and time off aren't explicit, make them clear.</w:t>
      </w:r>
    </w:p>
    <w:p w14:paraId="4BE131F8" w14:textId="77777777" w:rsidR="00890C57" w:rsidRPr="00437C83" w:rsidRDefault="00890C57" w:rsidP="00890C57">
      <w:pPr>
        <w:numPr>
          <w:ilvl w:val="0"/>
          <w:numId w:val="16"/>
        </w:numPr>
        <w:spacing w:before="100" w:beforeAutospacing="1" w:after="100" w:afterAutospacing="1"/>
        <w:rPr>
          <w:rFonts w:ascii="Helvetica" w:eastAsia="Times New Roman" w:hAnsi="Helvetica" w:cs="Helvetica"/>
          <w:color w:val="000000"/>
          <w:sz w:val="21"/>
          <w:szCs w:val="21"/>
        </w:rPr>
      </w:pPr>
      <w:r w:rsidRPr="00437C83">
        <w:rPr>
          <w:rFonts w:ascii="Helvetica" w:eastAsia="Times New Roman" w:hAnsi="Helvetica" w:cs="Helvetica"/>
          <w:color w:val="000000"/>
          <w:sz w:val="21"/>
          <w:szCs w:val="21"/>
        </w:rPr>
        <w:t>Hold company-wide and within-team discussions to understand and address the company work culture, across the board and in specific contexts.</w:t>
      </w:r>
    </w:p>
    <w:p w14:paraId="7B9F4B5C" w14:textId="09277C47" w:rsidR="00557FD8" w:rsidRDefault="00890C57" w:rsidP="005E063B">
      <w:pPr>
        <w:numPr>
          <w:ilvl w:val="0"/>
          <w:numId w:val="16"/>
        </w:numPr>
        <w:spacing w:before="100" w:beforeAutospacing="1" w:after="100" w:afterAutospacing="1"/>
        <w:rPr>
          <w:rFonts w:ascii="Helvetica" w:eastAsia="Times New Roman" w:hAnsi="Helvetica" w:cs="Helvetica"/>
          <w:color w:val="000000"/>
          <w:sz w:val="21"/>
          <w:szCs w:val="21"/>
        </w:rPr>
      </w:pPr>
      <w:r w:rsidRPr="00890C57">
        <w:rPr>
          <w:rFonts w:ascii="Helvetica" w:eastAsia="Times New Roman" w:hAnsi="Helvetica" w:cs="Helvetica"/>
          <w:color w:val="000000"/>
          <w:sz w:val="21"/>
          <w:szCs w:val="21"/>
        </w:rPr>
        <w:t xml:space="preserve">High evaluation scores should not be reserved for employees who work 200+ hours per month. Consider a </w:t>
      </w:r>
      <w:r w:rsidR="001872CA" w:rsidRPr="00890C57">
        <w:rPr>
          <w:rFonts w:ascii="Helvetica" w:eastAsia="Times New Roman" w:hAnsi="Helvetica" w:cs="Helvetica"/>
          <w:color w:val="000000"/>
          <w:sz w:val="21"/>
          <w:szCs w:val="21"/>
        </w:rPr>
        <w:t>proportion</w:t>
      </w:r>
      <w:r w:rsidR="00300F2C">
        <w:rPr>
          <w:rFonts w:ascii="Helvetica" w:eastAsia="Times New Roman" w:hAnsi="Helvetica" w:cs="Helvetica"/>
          <w:color w:val="000000"/>
          <w:sz w:val="21"/>
          <w:szCs w:val="21"/>
        </w:rPr>
        <w:t>ate</w:t>
      </w:r>
      <w:r w:rsidR="00557FD8">
        <w:rPr>
          <w:rFonts w:ascii="Helvetica" w:eastAsia="Times New Roman" w:hAnsi="Helvetica" w:cs="Helvetica"/>
          <w:color w:val="000000"/>
          <w:sz w:val="21"/>
          <w:szCs w:val="21"/>
        </w:rPr>
        <w:t xml:space="preserve"> </w:t>
      </w:r>
      <w:r w:rsidRPr="00890C57">
        <w:rPr>
          <w:rFonts w:ascii="Helvetica" w:eastAsia="Times New Roman" w:hAnsi="Helvetica" w:cs="Helvetica"/>
          <w:color w:val="000000"/>
          <w:sz w:val="21"/>
          <w:szCs w:val="21"/>
        </w:rPr>
        <w:t>scale for rewarding employees who contribute more/put in more effort.</w:t>
      </w:r>
      <w:bookmarkEnd w:id="3"/>
    </w:p>
    <w:p w14:paraId="0AB41012" w14:textId="77777777" w:rsidR="00557FD8" w:rsidRPr="00557FD8" w:rsidRDefault="00557FD8" w:rsidP="00557FD8"/>
    <w:p w14:paraId="7D9B8469" w14:textId="77777777" w:rsidR="00557FD8" w:rsidRPr="00557FD8" w:rsidRDefault="00557FD8" w:rsidP="00557FD8"/>
    <w:p w14:paraId="22044F0C" w14:textId="77777777" w:rsidR="00557FD8" w:rsidRPr="00557FD8" w:rsidRDefault="00557FD8" w:rsidP="00557FD8"/>
    <w:p w14:paraId="6D19953A" w14:textId="0D211B46" w:rsidR="00557FD8" w:rsidRPr="00557FD8" w:rsidRDefault="00A32144" w:rsidP="00557FD8">
      <w:r>
        <w:rPr>
          <w:noProof/>
        </w:rPr>
        <w:lastRenderedPageBreak/>
        <w:drawing>
          <wp:inline distT="0" distB="0" distL="0" distR="0" wp14:anchorId="5B6435CF" wp14:editId="75D1CFE3">
            <wp:extent cx="5949950" cy="4036060"/>
            <wp:effectExtent l="0" t="0" r="0" b="2540"/>
            <wp:docPr id="100019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4036060"/>
                    </a:xfrm>
                    <a:prstGeom prst="rect">
                      <a:avLst/>
                    </a:prstGeom>
                    <a:noFill/>
                  </pic:spPr>
                </pic:pic>
              </a:graphicData>
            </a:graphic>
          </wp:inline>
        </w:drawing>
      </w:r>
    </w:p>
    <w:p w14:paraId="60C2FFB2" w14:textId="77777777" w:rsidR="00557FD8" w:rsidRPr="00557FD8" w:rsidRDefault="00557FD8" w:rsidP="00557FD8"/>
    <w:p w14:paraId="096C0CA1" w14:textId="77777777" w:rsidR="00557FD8" w:rsidRPr="00557FD8" w:rsidRDefault="00557FD8" w:rsidP="00557FD8"/>
    <w:p w14:paraId="0F64B396" w14:textId="77777777" w:rsidR="00557FD8" w:rsidRPr="00557FD8" w:rsidRDefault="00557FD8" w:rsidP="00557FD8"/>
    <w:p w14:paraId="291B9412" w14:textId="77777777" w:rsidR="00557FD8" w:rsidRPr="00557FD8" w:rsidRDefault="00557FD8" w:rsidP="00557FD8"/>
    <w:p w14:paraId="499D5113" w14:textId="5674BEEA" w:rsidR="00DD3B81" w:rsidRPr="00300F2C" w:rsidRDefault="00557FD8" w:rsidP="00300F2C">
      <w:pPr>
        <w:tabs>
          <w:tab w:val="left" w:pos="1335"/>
        </w:tabs>
      </w:pPr>
      <w:r>
        <w:tab/>
      </w:r>
    </w:p>
    <w:sectPr w:rsidR="00DD3B81" w:rsidRPr="00300F2C" w:rsidSect="000D1536">
      <w:footerReference w:type="default" r:id="rId9"/>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49CEB" w14:textId="77777777" w:rsidR="00CE08DD" w:rsidRDefault="00CE08DD" w:rsidP="00352B7D">
      <w:r>
        <w:separator/>
      </w:r>
    </w:p>
  </w:endnote>
  <w:endnote w:type="continuationSeparator" w:id="0">
    <w:p w14:paraId="136D945C" w14:textId="77777777" w:rsidR="00CE08DD" w:rsidRDefault="00CE08DD"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D3B0" w14:textId="1E3477D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sidR="00A52869">
      <w:rPr>
        <w:noProof/>
        <w:sz w:val="20"/>
        <w:szCs w:val="20"/>
      </w:rPr>
      <w:t>17</w:t>
    </w:r>
    <w:r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B45B3" w14:textId="77777777" w:rsidR="00CE08DD" w:rsidRDefault="00CE08DD" w:rsidP="00352B7D">
      <w:r>
        <w:separator/>
      </w:r>
    </w:p>
  </w:footnote>
  <w:footnote w:type="continuationSeparator" w:id="0">
    <w:p w14:paraId="25A66D7A" w14:textId="77777777" w:rsidR="00CE08DD" w:rsidRDefault="00CE08DD"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0407"/>
    <w:multiLevelType w:val="multilevel"/>
    <w:tmpl w:val="82A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85AC0"/>
    <w:multiLevelType w:val="multilevel"/>
    <w:tmpl w:val="6DD6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B73EA"/>
    <w:multiLevelType w:val="multilevel"/>
    <w:tmpl w:val="6404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77BE8"/>
    <w:multiLevelType w:val="multilevel"/>
    <w:tmpl w:val="794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196710">
    <w:abstractNumId w:val="3"/>
  </w:num>
  <w:num w:numId="2" w16cid:durableId="767121502">
    <w:abstractNumId w:val="2"/>
  </w:num>
  <w:num w:numId="3" w16cid:durableId="1729961956">
    <w:abstractNumId w:val="7"/>
  </w:num>
  <w:num w:numId="4" w16cid:durableId="1331713336">
    <w:abstractNumId w:val="1"/>
  </w:num>
  <w:num w:numId="5" w16cid:durableId="957757048">
    <w:abstractNumId w:val="12"/>
  </w:num>
  <w:num w:numId="6" w16cid:durableId="732969248">
    <w:abstractNumId w:val="11"/>
  </w:num>
  <w:num w:numId="7" w16cid:durableId="190151709">
    <w:abstractNumId w:val="11"/>
  </w:num>
  <w:num w:numId="8" w16cid:durableId="17214415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920706">
    <w:abstractNumId w:val="5"/>
  </w:num>
  <w:num w:numId="10" w16cid:durableId="850872210">
    <w:abstractNumId w:val="8"/>
  </w:num>
  <w:num w:numId="11" w16cid:durableId="617958274">
    <w:abstractNumId w:val="10"/>
  </w:num>
  <w:num w:numId="12" w16cid:durableId="1764570859">
    <w:abstractNumId w:val="9"/>
  </w:num>
  <w:num w:numId="13" w16cid:durableId="1512642925">
    <w:abstractNumId w:val="6"/>
  </w:num>
  <w:num w:numId="14" w16cid:durableId="1955088230">
    <w:abstractNumId w:val="4"/>
  </w:num>
  <w:num w:numId="15" w16cid:durableId="923338188">
    <w:abstractNumId w:val="13"/>
  </w:num>
  <w:num w:numId="16" w16cid:durableId="162977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80F46"/>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872CA"/>
    <w:rsid w:val="00195FA8"/>
    <w:rsid w:val="00196D55"/>
    <w:rsid w:val="001A2EBF"/>
    <w:rsid w:val="001B3E86"/>
    <w:rsid w:val="001B4E00"/>
    <w:rsid w:val="001C05D8"/>
    <w:rsid w:val="001C2FFB"/>
    <w:rsid w:val="001E424C"/>
    <w:rsid w:val="00213095"/>
    <w:rsid w:val="00215A53"/>
    <w:rsid w:val="002636AE"/>
    <w:rsid w:val="00274D78"/>
    <w:rsid w:val="00285C73"/>
    <w:rsid w:val="002941E2"/>
    <w:rsid w:val="00295B68"/>
    <w:rsid w:val="002A51C0"/>
    <w:rsid w:val="002B07D7"/>
    <w:rsid w:val="002B6ED0"/>
    <w:rsid w:val="002C5DF0"/>
    <w:rsid w:val="002C73EA"/>
    <w:rsid w:val="00300F2C"/>
    <w:rsid w:val="00301C33"/>
    <w:rsid w:val="00306349"/>
    <w:rsid w:val="00312410"/>
    <w:rsid w:val="00312619"/>
    <w:rsid w:val="00332AED"/>
    <w:rsid w:val="00347629"/>
    <w:rsid w:val="00352B7D"/>
    <w:rsid w:val="003530C2"/>
    <w:rsid w:val="0035587E"/>
    <w:rsid w:val="003A393F"/>
    <w:rsid w:val="003A6915"/>
    <w:rsid w:val="003B07EE"/>
    <w:rsid w:val="003C51ED"/>
    <w:rsid w:val="003E7917"/>
    <w:rsid w:val="00435D54"/>
    <w:rsid w:val="004724E1"/>
    <w:rsid w:val="00472ADF"/>
    <w:rsid w:val="004A3ECC"/>
    <w:rsid w:val="004B1263"/>
    <w:rsid w:val="004C4546"/>
    <w:rsid w:val="004D5FAC"/>
    <w:rsid w:val="004E1740"/>
    <w:rsid w:val="004E2209"/>
    <w:rsid w:val="004F7021"/>
    <w:rsid w:val="005029CC"/>
    <w:rsid w:val="0050368D"/>
    <w:rsid w:val="005056D8"/>
    <w:rsid w:val="00514AA9"/>
    <w:rsid w:val="005506C6"/>
    <w:rsid w:val="005550DB"/>
    <w:rsid w:val="00557FD8"/>
    <w:rsid w:val="00564FA7"/>
    <w:rsid w:val="005660D4"/>
    <w:rsid w:val="005668C3"/>
    <w:rsid w:val="005A04C0"/>
    <w:rsid w:val="005A7FE7"/>
    <w:rsid w:val="005C0B69"/>
    <w:rsid w:val="005F0A76"/>
    <w:rsid w:val="005F4910"/>
    <w:rsid w:val="00616185"/>
    <w:rsid w:val="0062290C"/>
    <w:rsid w:val="0064679C"/>
    <w:rsid w:val="006651AF"/>
    <w:rsid w:val="006A7AA8"/>
    <w:rsid w:val="006B27DA"/>
    <w:rsid w:val="006B3254"/>
    <w:rsid w:val="006C2454"/>
    <w:rsid w:val="006C5715"/>
    <w:rsid w:val="006E19CB"/>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7E2BC1"/>
    <w:rsid w:val="007F7494"/>
    <w:rsid w:val="008022EA"/>
    <w:rsid w:val="008062CB"/>
    <w:rsid w:val="00810DB6"/>
    <w:rsid w:val="00812565"/>
    <w:rsid w:val="00823E17"/>
    <w:rsid w:val="0082681B"/>
    <w:rsid w:val="00845CDD"/>
    <w:rsid w:val="00847EDF"/>
    <w:rsid w:val="00862B47"/>
    <w:rsid w:val="00882315"/>
    <w:rsid w:val="0089030B"/>
    <w:rsid w:val="00890C57"/>
    <w:rsid w:val="00895634"/>
    <w:rsid w:val="008A2355"/>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2144"/>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75F25"/>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73F15"/>
    <w:rsid w:val="00CC0C53"/>
    <w:rsid w:val="00CC3DD7"/>
    <w:rsid w:val="00CE08DD"/>
    <w:rsid w:val="00CF252C"/>
    <w:rsid w:val="00D01F3B"/>
    <w:rsid w:val="00D02BCE"/>
    <w:rsid w:val="00D02CA3"/>
    <w:rsid w:val="00D21EA8"/>
    <w:rsid w:val="00D5570E"/>
    <w:rsid w:val="00D662CF"/>
    <w:rsid w:val="00D7638D"/>
    <w:rsid w:val="00D80A43"/>
    <w:rsid w:val="00D838E5"/>
    <w:rsid w:val="00DA4F2A"/>
    <w:rsid w:val="00DC3170"/>
    <w:rsid w:val="00DD3B81"/>
    <w:rsid w:val="00DD4B65"/>
    <w:rsid w:val="00DD6C7A"/>
    <w:rsid w:val="00DF031B"/>
    <w:rsid w:val="00E02FA6"/>
    <w:rsid w:val="00E04443"/>
    <w:rsid w:val="00E04F8C"/>
    <w:rsid w:val="00E05F78"/>
    <w:rsid w:val="00E1202A"/>
    <w:rsid w:val="00E22D70"/>
    <w:rsid w:val="00E24F0A"/>
    <w:rsid w:val="00E5334F"/>
    <w:rsid w:val="00E91108"/>
    <w:rsid w:val="00EA4F06"/>
    <w:rsid w:val="00EB3393"/>
    <w:rsid w:val="00EB6C5A"/>
    <w:rsid w:val="00ED5031"/>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S Roe</cp:lastModifiedBy>
  <cp:revision>4</cp:revision>
  <cp:lastPrinted>2016-04-18T17:30:00Z</cp:lastPrinted>
  <dcterms:created xsi:type="dcterms:W3CDTF">2025-08-14T23:29:00Z</dcterms:created>
  <dcterms:modified xsi:type="dcterms:W3CDTF">2025-08-14T23:32:00Z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