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4E445C" w14:textId="13A79EB4" w:rsidR="004B5529" w:rsidRPr="009B34F8" w:rsidRDefault="00E31114" w:rsidP="009B34F8">
      <w:pPr>
        <w:pStyle w:val="Title"/>
        <w:shd w:val="clear" w:color="auto" w:fill="000000" w:themeFill="text1"/>
        <w:rPr>
          <w:color w:val="auto"/>
        </w:rPr>
      </w:pPr>
      <w:r w:rsidRPr="009B34F8">
        <w:t>Predicti</w:t>
      </w:r>
      <w:r w:rsidR="009B34F8" w:rsidRPr="009B34F8">
        <w:t>ve Model Plan</w:t>
      </w: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sz w:val="32"/>
        </w:rPr>
        <w:t>1. Model Logic (Generated with GenAI)</w:t>
      </w:r>
    </w:p>
    <w:p w14:paraId="5B6A105C" w14:textId="1A93813E" w:rsidR="004B5529" w:rsidRPr="00E31114" w:rsidRDefault="00E31114">
      <w:pPr>
        <w:rPr>
          <w:rFonts w:ascii="Arial" w:hAnsi="Arial" w:cs="Arial"/>
          <w:i w:val="0"/>
          <w:iCs w:val="0"/>
          <w:color w:val="000000" w:themeColor="text1"/>
        </w:rPr>
      </w:pPr>
      <w:r>
        <w:rPr>
          <w:sz w:val="24"/>
        </w:rPr>
        <w:t>Model Type: Decision Tree Classifier (with Random Forest for final deployment)</w:t>
      </w:r>
      <w:r>
        <w:rPr>
          <w:sz w:val="24"/>
        </w:rPr>
        <w:br/>
      </w:r>
      <w:r>
        <w:rPr>
          <w:sz w:val="24"/>
        </w:rPr>
        <w:br/>
        <w:t>The model uses a step-by-step approach to split customer data based on key financial features. It asks yes/no questions (like “Has the customer missed payments?”) to decide whether a customer is likely to become delinquent. The final version uses a Random Forest, which combines many trees to make a stronger prediction.</w:t>
      </w:r>
      <w:r>
        <w:rPr>
          <w:sz w:val="24"/>
        </w:rPr>
        <w:br/>
      </w:r>
      <w:r w:rsidR="00A33540">
        <w:rPr>
          <w:sz w:val="24"/>
        </w:rPr>
        <w:t>S</w:t>
      </w:r>
      <w:bookmarkStart w:id="0" w:name="_GoBack"/>
      <w:bookmarkEnd w:id="0"/>
      <w:r>
        <w:rPr>
          <w:sz w:val="24"/>
        </w:rPr>
        <w:br/>
        <w:t>Workflow Summary:</w:t>
      </w:r>
      <w:r>
        <w:rPr>
          <w:sz w:val="24"/>
        </w:rPr>
        <w:br/>
        <w:t>1. Upload and clean the dataset (remove missing values, encode text).</w:t>
      </w:r>
      <w:r>
        <w:rPr>
          <w:sz w:val="24"/>
        </w:rPr>
        <w:br/>
        <w:t>2. Apply SMOTE to balance delinquent vs. non-delinquent data.</w:t>
      </w:r>
      <w:r>
        <w:rPr>
          <w:sz w:val="24"/>
        </w:rPr>
        <w:br/>
        <w:t>3. Train a Random Forest model with 100 trees and depth limit to avoid overfitting.</w:t>
      </w:r>
      <w:r>
        <w:rPr>
          <w:sz w:val="24"/>
        </w:rPr>
        <w:br/>
        <w:t>4. Evaluate model using key metrics.</w:t>
      </w:r>
      <w:r>
        <w:rPr>
          <w:sz w:val="24"/>
        </w:rPr>
        <w:br/>
        <w:t>5. Save and deploy the model for future use.</w:t>
      </w:r>
    </w:p>
    <w:p w14:paraId="6C4BE02A" w14:textId="49DBA0A5" w:rsidR="004B5529" w:rsidRDefault="00383A36" w:rsidP="00383A36">
      <w:pPr>
        <w:rPr>
          <w:sz w:val="24"/>
          <w:szCs w:val="24"/>
        </w:rPr>
      </w:pPr>
      <w:r w:rsidRPr="00383A36">
        <w:rPr>
          <w:sz w:val="24"/>
          <w:szCs w:val="24"/>
        </w:rPr>
        <w:t>The GenAI-generated model logic outlines a supervised classification approach using tree-based learning. It guides predictions using key financial behaviors like missed payments and debt ratio. It segments data into interpretable decisions and builds confidence using ensemble methods. This helps financial analysts predict risk with transparency and measurable accuracy.</w:t>
      </w:r>
    </w:p>
    <w:p w14:paraId="6B38B7B7" w14:textId="72B8DEB2" w:rsidR="00D646B4" w:rsidRPr="00383A36" w:rsidRDefault="00D646B4" w:rsidP="00383A36">
      <w:pPr>
        <w:rPr>
          <w:rFonts w:ascii="Arial" w:hAnsi="Arial" w:cs="Arial"/>
          <w:i w:val="0"/>
          <w:iCs w:val="0"/>
          <w:color w:val="000000" w:themeColor="text1"/>
          <w:sz w:val="24"/>
          <w:szCs w:val="24"/>
        </w:rPr>
      </w:pPr>
    </w:p>
    <w:p w14:paraId="35E39D13"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sz w:val="32"/>
        </w:rPr>
        <w:t>2. Justification for Model Choice</w:t>
      </w:r>
    </w:p>
    <w:p w14:paraId="780DB871" w14:textId="77777777" w:rsidR="004B5529" w:rsidRPr="00E31114" w:rsidRDefault="00E31114">
      <w:pPr>
        <w:rPr>
          <w:rFonts w:ascii="Arial" w:hAnsi="Arial" w:cs="Arial"/>
          <w:i w:val="0"/>
          <w:iCs w:val="0"/>
          <w:color w:val="000000" w:themeColor="text1"/>
        </w:rPr>
      </w:pPr>
      <w:r>
        <w:rPr>
          <w:sz w:val="24"/>
        </w:rPr>
        <w:t>I selected the Random Forest model because it offers both high accuracy and interpretability. In our case, it predicted customer delinquency with an accuracy of over 91% and an AUC of 0.96.</w:t>
      </w:r>
      <w:r>
        <w:rPr>
          <w:sz w:val="24"/>
        </w:rPr>
        <w:br/>
      </w:r>
      <w:r>
        <w:rPr>
          <w:sz w:val="24"/>
        </w:rPr>
        <w:br/>
        <w:t>It also:</w:t>
      </w:r>
      <w:r>
        <w:rPr>
          <w:sz w:val="24"/>
        </w:rPr>
        <w:br/>
        <w:t>- Works well with both numerical and categorical data (like income and employment status).</w:t>
      </w:r>
      <w:r>
        <w:rPr>
          <w:sz w:val="24"/>
        </w:rPr>
        <w:br/>
        <w:t>- Is transparent enough to explain to business users (via feature importance).</w:t>
      </w:r>
      <w:r>
        <w:rPr>
          <w:sz w:val="24"/>
        </w:rPr>
        <w:br/>
        <w:t>- Reduces overfitting compared to a single decision tree.</w:t>
      </w:r>
      <w:r>
        <w:rPr>
          <w:sz w:val="24"/>
        </w:rPr>
        <w:br/>
      </w:r>
      <w:r>
        <w:rPr>
          <w:sz w:val="24"/>
        </w:rPr>
        <w:lastRenderedPageBreak/>
        <w:t>- Supports Geldium’s business need to make reliable, fair predictions about customer credit risk.</w:t>
      </w:r>
    </w:p>
    <w:p w14:paraId="22A6D0E5" w14:textId="1B4587CA" w:rsidR="00383A36" w:rsidRPr="00383A36" w:rsidRDefault="00383A36" w:rsidP="00383A36">
      <w:pPr>
        <w:rPr>
          <w:rFonts w:ascii="Arial" w:hAnsi="Arial" w:cs="Arial"/>
          <w:i w:val="0"/>
          <w:iCs w:val="0"/>
          <w:color w:val="000000" w:themeColor="text1"/>
          <w:sz w:val="24"/>
          <w:szCs w:val="24"/>
        </w:rPr>
      </w:pPr>
      <w:r w:rsidRPr="00383A36">
        <w:rPr>
          <w:rFonts w:ascii="Arial" w:hAnsi="Arial" w:cs="Arial"/>
          <w:i w:val="0"/>
          <w:iCs w:val="0"/>
          <w:color w:val="000000" w:themeColor="text1"/>
          <w:sz w:val="24"/>
          <w:szCs w:val="24"/>
        </w:rPr>
        <w:br/>
      </w:r>
      <w:r w:rsidRPr="00383A36">
        <w:rPr>
          <w:sz w:val="24"/>
          <w:szCs w:val="24"/>
        </w:rPr>
        <w:t>This model fits Geldium’s operational and ethical standards well, ensuring high predictive power while remaining easy to explain and audit. It allows flexible scaling and is suitable for real-time applications.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DDDDD" w:themeFill="accent1"/>
        <w:tblLook w:val="04A0" w:firstRow="1" w:lastRow="0" w:firstColumn="1" w:lastColumn="0" w:noHBand="0" w:noVBand="1"/>
      </w:tblPr>
      <w:tblGrid>
        <w:gridCol w:w="8640"/>
      </w:tblGrid>
      <w:tr w:rsidR="009B34F8" w:rsidRPr="009B34F8" w14:paraId="76A40EDB" w14:textId="77777777" w:rsidTr="00D646B4">
        <w:trPr>
          <w:trHeight w:val="251"/>
        </w:trPr>
        <w:tc>
          <w:tcPr>
            <w:tcW w:w="8856" w:type="dxa"/>
            <w:shd w:val="clear" w:color="auto" w:fill="DDDDDD" w:themeFill="accent1"/>
          </w:tcPr>
          <w:p w14:paraId="118D5935" w14:textId="77777777" w:rsidR="009B34F8" w:rsidRPr="00D646B4" w:rsidRDefault="009B34F8" w:rsidP="002D23B8">
            <w:pPr>
              <w:rPr>
                <w:rFonts w:ascii="Arial" w:hAnsi="Arial" w:cs="Arial"/>
                <w:b/>
                <w:i w:val="0"/>
                <w:iCs w:val="0"/>
                <w:color w:val="000000" w:themeColor="text1"/>
              </w:rPr>
            </w:pPr>
            <w:r w:rsidRPr="009B34F8">
              <w:rPr>
                <w:rFonts w:ascii="Arial" w:hAnsi="Arial" w:cs="Arial"/>
                <w:i w:val="0"/>
                <w:iCs w:val="0"/>
                <w:color w:val="000000" w:themeColor="text1"/>
                <w:sz w:val="32"/>
              </w:rPr>
              <w:t xml:space="preserve"> </w:t>
            </w:r>
            <w:r w:rsidRPr="00D646B4">
              <w:rPr>
                <w:rFonts w:ascii="Arial" w:hAnsi="Arial" w:cs="Arial"/>
                <w:b/>
                <w:i w:val="0"/>
                <w:iCs w:val="0"/>
                <w:color w:val="000000" w:themeColor="text1"/>
                <w:sz w:val="32"/>
              </w:rPr>
              <w:t>3. Evaluation Strategy</w:t>
            </w:r>
          </w:p>
        </w:tc>
      </w:tr>
    </w:tbl>
    <w:p w14:paraId="3A7012D5" w14:textId="77777777" w:rsidR="00D646B4" w:rsidRDefault="00D646B4">
      <w:pPr>
        <w:rPr>
          <w:sz w:val="24"/>
        </w:rPr>
      </w:pPr>
    </w:p>
    <w:p w14:paraId="7D9A8D63" w14:textId="77777777" w:rsidR="004B5529" w:rsidRPr="00E31114" w:rsidRDefault="00E31114">
      <w:pPr>
        <w:rPr>
          <w:rFonts w:ascii="Arial" w:hAnsi="Arial" w:cs="Arial"/>
          <w:i w:val="0"/>
          <w:iCs w:val="0"/>
          <w:color w:val="000000" w:themeColor="text1"/>
        </w:rPr>
      </w:pPr>
      <w:r>
        <w:rPr>
          <w:sz w:val="24"/>
        </w:rPr>
        <w:t>Metrics Used:</w:t>
      </w:r>
      <w:r>
        <w:rPr>
          <w:sz w:val="24"/>
        </w:rPr>
        <w:br/>
        <w:t>- Accuracy: Overall how many predictions were correct.</w:t>
      </w:r>
      <w:r>
        <w:rPr>
          <w:sz w:val="24"/>
        </w:rPr>
        <w:br/>
        <w:t>- Precision: How many customers flagged as delinquent were actually delinquent.</w:t>
      </w:r>
      <w:r>
        <w:rPr>
          <w:sz w:val="24"/>
        </w:rPr>
        <w:br/>
        <w:t>- Recall: How many actual delinquent customers we correctly found.</w:t>
      </w:r>
      <w:r>
        <w:rPr>
          <w:sz w:val="24"/>
        </w:rPr>
        <w:br/>
        <w:t>- F1 Score: A balance between precision and recall.</w:t>
      </w:r>
      <w:r>
        <w:rPr>
          <w:sz w:val="24"/>
        </w:rPr>
        <w:br/>
        <w:t>- ROC-AUC Score: Measures the model's ability to separate risky vs. safe customers.</w:t>
      </w:r>
      <w:r>
        <w:rPr>
          <w:sz w:val="24"/>
        </w:rPr>
        <w:br/>
      </w:r>
      <w:r>
        <w:rPr>
          <w:sz w:val="24"/>
        </w:rPr>
        <w:br/>
        <w:t>Results:</w:t>
      </w:r>
      <w:r>
        <w:rPr>
          <w:sz w:val="24"/>
        </w:rPr>
        <w:br/>
        <w:t>- Accuracy: 91%</w:t>
      </w:r>
      <w:r>
        <w:rPr>
          <w:sz w:val="24"/>
        </w:rPr>
        <w:br/>
        <w:t>- ROC AUC: 0.96</w:t>
      </w:r>
      <w:r>
        <w:rPr>
          <w:sz w:val="24"/>
        </w:rPr>
        <w:br/>
        <w:t>- F1 Score: 0.90 (for class 1 – delinquent)</w:t>
      </w:r>
      <w:r>
        <w:rPr>
          <w:sz w:val="24"/>
        </w:rPr>
        <w:br/>
      </w:r>
      <w:r>
        <w:rPr>
          <w:sz w:val="24"/>
        </w:rPr>
        <w:br/>
        <w:t>Bias and Ethics:</w:t>
      </w:r>
      <w:r>
        <w:rPr>
          <w:sz w:val="24"/>
        </w:rPr>
        <w:br/>
        <w:t>- SMOTE was used to handle class imbalance.</w:t>
      </w:r>
      <w:r>
        <w:rPr>
          <w:sz w:val="24"/>
        </w:rPr>
        <w:br/>
        <w:t>- Categorical data (like employment type) was encoded carefully to avoid unfair bias.</w:t>
      </w:r>
      <w:r>
        <w:rPr>
          <w:sz w:val="24"/>
        </w:rPr>
        <w:br/>
        <w:t>- The model avoids using demographic proxies (like location) that may introduce discrimination.</w:t>
      </w:r>
      <w:r>
        <w:rPr>
          <w:sz w:val="24"/>
        </w:rPr>
        <w:br/>
        <w:t>- All predictions are intended to support responsible lending decisions aligned with ethical AI use.</w:t>
      </w:r>
    </w:p>
    <w:p w14:paraId="2D2F0295" w14:textId="6AD5312E" w:rsidR="004B5529" w:rsidRDefault="009B34F8">
      <w:pPr>
        <w:rPr>
          <w:sz w:val="24"/>
          <w:szCs w:val="24"/>
        </w:rPr>
      </w:pPr>
      <w:r>
        <w:rPr>
          <w:rFonts w:ascii="Arial" w:hAnsi="Arial" w:cs="Arial"/>
          <w:i w:val="0"/>
          <w:iCs w:val="0"/>
          <w:color w:val="000000" w:themeColor="text1"/>
        </w:rPr>
        <w:br/>
      </w:r>
      <w:r w:rsidRPr="009B34F8">
        <w:rPr>
          <w:sz w:val="24"/>
          <w:szCs w:val="24"/>
        </w:rPr>
        <w:t>The evaluation process included fairness and performance checks. Using class-specific F1 and ROC-AUC ensures the model is both accurate and unbiased. These metrics were chosen to reflect real-world impact and support ethical financial practices.</w:t>
      </w:r>
    </w:p>
    <w:p w14:paraId="788F4194" w14:textId="77777777" w:rsidR="00D646B4" w:rsidRDefault="00D646B4">
      <w:pPr>
        <w:rPr>
          <w:sz w:val="24"/>
          <w:szCs w:val="24"/>
        </w:rPr>
      </w:pPr>
    </w:p>
    <w:p w14:paraId="2AD3C08E" w14:textId="73DF4BB0" w:rsidR="00D646B4" w:rsidRDefault="00D646B4">
      <w:pPr>
        <w:rPr>
          <w:rFonts w:ascii="Arial" w:hAnsi="Arial" w:cs="Arial"/>
          <w:i w:val="0"/>
          <w:iCs w:val="0"/>
          <w:color w:val="000000" w:themeColor="text1"/>
          <w:sz w:val="24"/>
          <w:szCs w:val="24"/>
        </w:rPr>
      </w:pPr>
    </w:p>
    <w:p w14:paraId="1E401371" w14:textId="155697DF" w:rsidR="00D646B4" w:rsidRDefault="00D646B4">
      <w:pPr>
        <w:rPr>
          <w:rFonts w:ascii="Arial" w:hAnsi="Arial" w:cs="Arial"/>
          <w:i w:val="0"/>
          <w:iCs w:val="0"/>
          <w:color w:val="000000" w:themeColor="text1"/>
          <w:sz w:val="24"/>
          <w:szCs w:val="24"/>
        </w:rPr>
      </w:pPr>
      <w:r w:rsidRPr="00D646B4">
        <w:rPr>
          <w:rFonts w:ascii="Arial" w:hAnsi="Arial" w:cs="Arial"/>
          <w:i w:val="0"/>
          <w:iCs w:val="0"/>
          <w:color w:val="000000" w:themeColor="text1"/>
          <w:sz w:val="24"/>
          <w:szCs w:val="24"/>
        </w:rPr>
        <w:lastRenderedPageBreak/>
        <w:drawing>
          <wp:inline distT="0" distB="0" distL="0" distR="0" wp14:anchorId="360CF0DF" wp14:editId="252C8951">
            <wp:extent cx="5486400" cy="30086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008630"/>
                    </a:xfrm>
                    <a:prstGeom prst="rect">
                      <a:avLst/>
                    </a:prstGeom>
                  </pic:spPr>
                </pic:pic>
              </a:graphicData>
            </a:graphic>
          </wp:inline>
        </w:drawing>
      </w:r>
    </w:p>
    <w:p w14:paraId="7B586A97" w14:textId="0EDDBB0F" w:rsidR="003D7E03" w:rsidRDefault="003D7E03">
      <w:pPr>
        <w:rPr>
          <w:rFonts w:ascii="Arial" w:hAnsi="Arial" w:cs="Arial"/>
          <w:i w:val="0"/>
          <w:iCs w:val="0"/>
          <w:color w:val="000000" w:themeColor="text1"/>
          <w:sz w:val="24"/>
          <w:szCs w:val="24"/>
        </w:rPr>
      </w:pPr>
      <w:r w:rsidRPr="003D7E03">
        <w:rPr>
          <w:rFonts w:ascii="Arial" w:hAnsi="Arial" w:cs="Arial"/>
          <w:i w:val="0"/>
          <w:iCs w:val="0"/>
          <w:color w:val="000000" w:themeColor="text1"/>
          <w:sz w:val="24"/>
          <w:szCs w:val="24"/>
        </w:rPr>
        <w:drawing>
          <wp:inline distT="0" distB="0" distL="0" distR="0" wp14:anchorId="6B5DE140" wp14:editId="2C9EF3C2">
            <wp:extent cx="5486400" cy="41116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4111625"/>
                    </a:xfrm>
                    <a:prstGeom prst="rect">
                      <a:avLst/>
                    </a:prstGeom>
                  </pic:spPr>
                </pic:pic>
              </a:graphicData>
            </a:graphic>
          </wp:inline>
        </w:drawing>
      </w:r>
    </w:p>
    <w:p w14:paraId="68FA1F88" w14:textId="3C5F31EE" w:rsidR="003D7E03" w:rsidRDefault="003D7E03">
      <w:pPr>
        <w:rPr>
          <w:rFonts w:ascii="Arial" w:hAnsi="Arial" w:cs="Arial"/>
          <w:i w:val="0"/>
          <w:iCs w:val="0"/>
          <w:color w:val="000000" w:themeColor="text1"/>
          <w:sz w:val="24"/>
          <w:szCs w:val="24"/>
        </w:rPr>
      </w:pPr>
      <w:r w:rsidRPr="003D7E03">
        <w:rPr>
          <w:rFonts w:ascii="Arial" w:hAnsi="Arial" w:cs="Arial"/>
          <w:i w:val="0"/>
          <w:iCs w:val="0"/>
          <w:color w:val="000000" w:themeColor="text1"/>
          <w:sz w:val="24"/>
          <w:szCs w:val="24"/>
        </w:rPr>
        <w:lastRenderedPageBreak/>
        <w:drawing>
          <wp:inline distT="0" distB="0" distL="0" distR="0" wp14:anchorId="2B0B51D3" wp14:editId="08CD8D26">
            <wp:extent cx="5486400" cy="35915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591560"/>
                    </a:xfrm>
                    <a:prstGeom prst="rect">
                      <a:avLst/>
                    </a:prstGeom>
                  </pic:spPr>
                </pic:pic>
              </a:graphicData>
            </a:graphic>
          </wp:inline>
        </w:drawing>
      </w:r>
    </w:p>
    <w:p w14:paraId="586796C0" w14:textId="629AAC15" w:rsidR="003D7E03" w:rsidRPr="009B34F8" w:rsidRDefault="003D7E03">
      <w:pPr>
        <w:rPr>
          <w:rFonts w:ascii="Arial" w:hAnsi="Arial" w:cs="Arial"/>
          <w:i w:val="0"/>
          <w:iCs w:val="0"/>
          <w:color w:val="000000" w:themeColor="text1"/>
          <w:sz w:val="24"/>
          <w:szCs w:val="24"/>
        </w:rPr>
      </w:pPr>
      <w:r w:rsidRPr="00D646B4">
        <w:rPr>
          <w:rFonts w:ascii="Arial" w:hAnsi="Arial" w:cs="Arial"/>
          <w:i w:val="0"/>
          <w:iCs w:val="0"/>
          <w:color w:val="000000" w:themeColor="text1"/>
          <w:sz w:val="24"/>
          <w:szCs w:val="24"/>
        </w:rPr>
        <w:drawing>
          <wp:inline distT="0" distB="0" distL="0" distR="0" wp14:anchorId="62C899F6" wp14:editId="6464CAD9">
            <wp:extent cx="5486400" cy="1962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1962785"/>
                    </a:xfrm>
                    <a:prstGeom prst="rect">
                      <a:avLst/>
                    </a:prstGeom>
                  </pic:spPr>
                </pic:pic>
              </a:graphicData>
            </a:graphic>
          </wp:inline>
        </w:drawing>
      </w:r>
    </w:p>
    <w:sectPr w:rsidR="003D7E03" w:rsidRPr="009B34F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596E7B" w14:textId="77777777" w:rsidR="00291D1A" w:rsidRDefault="00291D1A" w:rsidP="00E31114">
      <w:pPr>
        <w:spacing w:after="0" w:line="240" w:lineRule="auto"/>
      </w:pPr>
      <w:r>
        <w:separator/>
      </w:r>
    </w:p>
  </w:endnote>
  <w:endnote w:type="continuationSeparator" w:id="0">
    <w:p w14:paraId="2626C23A" w14:textId="77777777" w:rsidR="00291D1A" w:rsidRDefault="00291D1A"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802048" w14:textId="77777777" w:rsidR="00291D1A" w:rsidRDefault="00291D1A" w:rsidP="00E31114">
      <w:pPr>
        <w:spacing w:after="0" w:line="240" w:lineRule="auto"/>
      </w:pPr>
      <w:r>
        <w:separator/>
      </w:r>
    </w:p>
  </w:footnote>
  <w:footnote w:type="continuationSeparator" w:id="0">
    <w:p w14:paraId="6B09C3C7" w14:textId="77777777" w:rsidR="00291D1A" w:rsidRDefault="00291D1A" w:rsidP="00E311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1D1A"/>
    <w:rsid w:val="0029639D"/>
    <w:rsid w:val="00326F90"/>
    <w:rsid w:val="00383A36"/>
    <w:rsid w:val="003D7E03"/>
    <w:rsid w:val="004B5529"/>
    <w:rsid w:val="008237CA"/>
    <w:rsid w:val="0099169A"/>
    <w:rsid w:val="009B34F8"/>
    <w:rsid w:val="00A33540"/>
    <w:rsid w:val="00AA1D8D"/>
    <w:rsid w:val="00B47730"/>
    <w:rsid w:val="00CB0664"/>
    <w:rsid w:val="00CF37A9"/>
    <w:rsid w:val="00D646B4"/>
    <w:rsid w:val="00E31114"/>
    <w:rsid w:val="00ED63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Ind w:w="0" w:type="dxa"/>
      <w:tblBorders>
        <w:top w:val="single" w:sz="8" w:space="0" w:color="DDDDDD" w:themeColor="accent1"/>
        <w:bottom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DDDDDD" w:themeColor="accent1"/>
        <w:bottom w:val="single" w:sz="8" w:space="0" w:color="DDDDD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CellMar>
        <w:top w:w="0" w:type="dxa"/>
        <w:left w:w="108" w:type="dxa"/>
        <w:bottom w:w="0" w:type="dxa"/>
        <w:right w:w="108" w:type="dxa"/>
      </w:tblCellMar>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CellMar>
        <w:top w:w="0" w:type="dxa"/>
        <w:left w:w="108" w:type="dxa"/>
        <w:bottom w:w="0" w:type="dxa"/>
        <w:right w:w="108" w:type="dxa"/>
      </w:tblCellMar>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CellMar>
        <w:top w:w="0" w:type="dxa"/>
        <w:left w:w="108" w:type="dxa"/>
        <w:bottom w:w="0" w:type="dxa"/>
        <w:right w:w="108" w:type="dxa"/>
      </w:tblCellMar>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CellMar>
        <w:top w:w="0" w:type="dxa"/>
        <w:left w:w="108" w:type="dxa"/>
        <w:bottom w:w="0" w:type="dxa"/>
        <w:right w:w="108" w:type="dxa"/>
      </w:tblCellMar>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CellMar>
        <w:top w:w="0" w:type="dxa"/>
        <w:left w:w="108" w:type="dxa"/>
        <w:bottom w:w="0" w:type="dxa"/>
        <w:right w:w="108" w:type="dxa"/>
      </w:tblCellMar>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CellMar>
        <w:top w:w="0" w:type="dxa"/>
        <w:left w:w="108" w:type="dxa"/>
        <w:bottom w:w="0" w:type="dxa"/>
        <w:right w:w="108" w:type="dxa"/>
      </w:tblCellMar>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CellMar>
        <w:top w:w="0" w:type="dxa"/>
        <w:left w:w="108" w:type="dxa"/>
        <w:bottom w:w="0" w:type="dxa"/>
        <w:right w:w="108" w:type="dxa"/>
      </w:tblCellMar>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776271-DAAD-4BA8-B6DD-16F5C84A9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cp:lastModifiedBy>
  <cp:revision>4</cp:revision>
  <dcterms:created xsi:type="dcterms:W3CDTF">2025-07-07T12:29:00Z</dcterms:created>
  <dcterms:modified xsi:type="dcterms:W3CDTF">2025-07-07T12:29:00Z</dcterms:modified>
  <cp:category/>
</cp:coreProperties>
</file>