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2C2" w:rsidRPr="00F303C7" w:rsidRDefault="00A537D1">
      <w:pPr>
        <w:pStyle w:val="Title"/>
        <w:jc w:val="center"/>
        <w:rPr>
          <w:rFonts w:ascii="Arial" w:hAnsi="Arial" w:cs="Arial"/>
          <w:b/>
          <w:color w:val="000000" w:themeColor="text1"/>
        </w:rPr>
      </w:pPr>
      <w:r w:rsidRPr="00F303C7">
        <w:rPr>
          <w:rFonts w:ascii="Arial" w:hAnsi="Arial" w:cs="Arial"/>
          <w:b/>
          <w:color w:val="000000" w:themeColor="text1"/>
        </w:rPr>
        <w:t>Business Summary Report: Predictive Insights for Collections Strategy</w:t>
      </w:r>
    </w:p>
    <w:p w:rsidR="007D72C2" w:rsidRPr="00F303C7" w:rsidRDefault="00A537D1">
      <w:pPr>
        <w:pStyle w:val="Heading1"/>
        <w:rPr>
          <w:rFonts w:ascii="Arial" w:hAnsi="Arial" w:cs="Arial"/>
          <w:color w:val="000000" w:themeColor="text1"/>
        </w:rPr>
      </w:pPr>
      <w:r w:rsidRPr="00F303C7">
        <w:rPr>
          <w:rFonts w:ascii="Arial" w:hAnsi="Arial" w:cs="Arial"/>
          <w:color w:val="000000" w:themeColor="text1"/>
        </w:rPr>
        <w:t>1. Summary of Predictive Insights</w:t>
      </w:r>
    </w:p>
    <w:p w:rsidR="007D72C2" w:rsidRDefault="00772810">
      <w:pPr>
        <w:rPr>
          <w:sz w:val="24"/>
        </w:rPr>
      </w:pPr>
      <w:r>
        <w:t>Our analysis of the customer dataset and predictive modeling identified key patterns linked to delinquency risk. Certain customer segments, especially those with high credit usage, repeated missed payments, and elevated debt-to-income ratios, show a significantly higher likelihood of becoming delinquent. These insights can guide early interventions and help prioritize outreach.</w:t>
      </w:r>
      <w:r w:rsidR="00F303C7">
        <w:rPr>
          <w:sz w:val="24"/>
        </w:rPr>
        <w:br/>
      </w:r>
      <w:r w:rsidR="00F303C7">
        <w:rPr>
          <w:sz w:val="24"/>
        </w:rPr>
        <w:br/>
      </w:r>
      <w:r w:rsidR="00F303C7" w:rsidRPr="00F303C7">
        <w:rPr>
          <w:b/>
          <w:i/>
          <w:sz w:val="24"/>
        </w:rPr>
        <w:t>Top 3 Risk Factors</w:t>
      </w:r>
      <w:proofErr w:type="gramStart"/>
      <w:r w:rsidR="00F303C7" w:rsidRPr="00F303C7">
        <w:rPr>
          <w:b/>
          <w:i/>
          <w:sz w:val="24"/>
        </w:rPr>
        <w:t>:</w:t>
      </w:r>
      <w:proofErr w:type="gramEnd"/>
      <w:r w:rsidR="00A537D1">
        <w:rPr>
          <w:sz w:val="24"/>
        </w:rPr>
        <w:br/>
        <w:t>1. High Credit Utilization (&gt;80%)</w:t>
      </w:r>
      <w:r w:rsidR="00A537D1">
        <w:rPr>
          <w:sz w:val="24"/>
        </w:rPr>
        <w:br/>
        <w:t>2. Multiple Missed Payments (2 or more)</w:t>
      </w:r>
      <w:r w:rsidR="00A537D1">
        <w:rPr>
          <w:sz w:val="24"/>
        </w:rPr>
        <w:br/>
        <w:t>3. High Debt-to-Income Rat</w:t>
      </w:r>
      <w:r w:rsidR="00F303C7">
        <w:rPr>
          <w:sz w:val="24"/>
        </w:rPr>
        <w:t>io (&gt;0.5)</w:t>
      </w:r>
    </w:p>
    <w:p w:rsidR="00F303C7" w:rsidRDefault="00F303C7">
      <w:pPr>
        <w:rPr>
          <w:rFonts w:ascii="Arial" w:hAnsi="Arial" w:cs="Arial"/>
          <w:color w:val="000000" w:themeColor="text1"/>
        </w:rPr>
      </w:pPr>
    </w:p>
    <w:tbl>
      <w:tblPr>
        <w:tblW w:w="8865" w:type="dxa"/>
        <w:tblCellSpacing w:w="15" w:type="dxa"/>
        <w:tblCellMar>
          <w:top w:w="15" w:type="dxa"/>
          <w:left w:w="15" w:type="dxa"/>
          <w:bottom w:w="15" w:type="dxa"/>
          <w:right w:w="15" w:type="dxa"/>
        </w:tblCellMar>
        <w:tblLook w:val="04A0" w:firstRow="1" w:lastRow="0" w:firstColumn="1" w:lastColumn="0" w:noHBand="0" w:noVBand="1"/>
      </w:tblPr>
      <w:tblGrid>
        <w:gridCol w:w="2835"/>
        <w:gridCol w:w="1980"/>
        <w:gridCol w:w="1810"/>
        <w:gridCol w:w="2240"/>
      </w:tblGrid>
      <w:tr w:rsidR="00772810" w:rsidRPr="00772810" w:rsidTr="00772810">
        <w:trPr>
          <w:trHeight w:val="578"/>
          <w:tblHeader/>
          <w:tblCellSpacing w:w="15" w:type="dxa"/>
        </w:trPr>
        <w:tc>
          <w:tcPr>
            <w:tcW w:w="2790" w:type="dxa"/>
            <w:vAlign w:val="center"/>
            <w:hideMark/>
          </w:tcPr>
          <w:p w:rsidR="00772810" w:rsidRPr="00772810" w:rsidRDefault="00772810" w:rsidP="00772810">
            <w:pPr>
              <w:spacing w:after="0" w:line="240" w:lineRule="auto"/>
              <w:jc w:val="center"/>
              <w:rPr>
                <w:rFonts w:ascii="Times New Roman" w:eastAsia="Times New Roman" w:hAnsi="Times New Roman" w:cs="Times New Roman"/>
                <w:b/>
                <w:bCs/>
                <w:sz w:val="24"/>
                <w:szCs w:val="24"/>
              </w:rPr>
            </w:pPr>
            <w:r w:rsidRPr="00772810">
              <w:rPr>
                <w:rFonts w:ascii="Times New Roman" w:eastAsia="Times New Roman" w:hAnsi="Times New Roman" w:cs="Times New Roman"/>
                <w:b/>
                <w:bCs/>
                <w:sz w:val="24"/>
                <w:szCs w:val="24"/>
              </w:rPr>
              <w:t>Key Insight</w:t>
            </w:r>
          </w:p>
        </w:tc>
        <w:tc>
          <w:tcPr>
            <w:tcW w:w="1950" w:type="dxa"/>
            <w:vAlign w:val="center"/>
            <w:hideMark/>
          </w:tcPr>
          <w:p w:rsidR="00772810" w:rsidRPr="00772810" w:rsidRDefault="00772810" w:rsidP="00772810">
            <w:pPr>
              <w:spacing w:after="0" w:line="240" w:lineRule="auto"/>
              <w:jc w:val="center"/>
              <w:rPr>
                <w:rFonts w:ascii="Times New Roman" w:eastAsia="Times New Roman" w:hAnsi="Times New Roman" w:cs="Times New Roman"/>
                <w:b/>
                <w:bCs/>
                <w:sz w:val="24"/>
                <w:szCs w:val="24"/>
              </w:rPr>
            </w:pPr>
            <w:r w:rsidRPr="00772810">
              <w:rPr>
                <w:rFonts w:ascii="Times New Roman" w:eastAsia="Times New Roman" w:hAnsi="Times New Roman" w:cs="Times New Roman"/>
                <w:b/>
                <w:bCs/>
                <w:sz w:val="24"/>
                <w:szCs w:val="24"/>
              </w:rPr>
              <w:t>Customer Segment</w:t>
            </w:r>
          </w:p>
        </w:tc>
        <w:tc>
          <w:tcPr>
            <w:tcW w:w="1780" w:type="dxa"/>
            <w:vAlign w:val="center"/>
            <w:hideMark/>
          </w:tcPr>
          <w:p w:rsidR="00772810" w:rsidRPr="00772810" w:rsidRDefault="00772810" w:rsidP="00772810">
            <w:pPr>
              <w:spacing w:after="0" w:line="240" w:lineRule="auto"/>
              <w:jc w:val="center"/>
              <w:rPr>
                <w:rFonts w:ascii="Times New Roman" w:eastAsia="Times New Roman" w:hAnsi="Times New Roman" w:cs="Times New Roman"/>
                <w:b/>
                <w:bCs/>
                <w:sz w:val="24"/>
                <w:szCs w:val="24"/>
              </w:rPr>
            </w:pPr>
            <w:r w:rsidRPr="00772810">
              <w:rPr>
                <w:rFonts w:ascii="Times New Roman" w:eastAsia="Times New Roman" w:hAnsi="Times New Roman" w:cs="Times New Roman"/>
                <w:b/>
                <w:bCs/>
                <w:sz w:val="24"/>
                <w:szCs w:val="24"/>
              </w:rPr>
              <w:t>Influencing Variables</w:t>
            </w:r>
          </w:p>
        </w:tc>
        <w:tc>
          <w:tcPr>
            <w:tcW w:w="2195" w:type="dxa"/>
            <w:vAlign w:val="center"/>
            <w:hideMark/>
          </w:tcPr>
          <w:p w:rsidR="00772810" w:rsidRPr="00772810" w:rsidRDefault="00772810" w:rsidP="00772810">
            <w:pPr>
              <w:spacing w:after="0" w:line="240" w:lineRule="auto"/>
              <w:jc w:val="center"/>
              <w:rPr>
                <w:rFonts w:ascii="Times New Roman" w:eastAsia="Times New Roman" w:hAnsi="Times New Roman" w:cs="Times New Roman"/>
                <w:b/>
                <w:bCs/>
                <w:sz w:val="24"/>
                <w:szCs w:val="24"/>
              </w:rPr>
            </w:pPr>
            <w:r w:rsidRPr="00772810">
              <w:rPr>
                <w:rFonts w:ascii="Times New Roman" w:eastAsia="Times New Roman" w:hAnsi="Times New Roman" w:cs="Times New Roman"/>
                <w:b/>
                <w:bCs/>
                <w:sz w:val="24"/>
                <w:szCs w:val="24"/>
              </w:rPr>
              <w:t>Potential Impact</w:t>
            </w:r>
          </w:p>
        </w:tc>
      </w:tr>
    </w:tbl>
    <w:p w:rsidR="00772810" w:rsidRPr="00772810" w:rsidRDefault="00772810" w:rsidP="00772810">
      <w:pPr>
        <w:spacing w:after="0" w:line="240" w:lineRule="auto"/>
        <w:rPr>
          <w:rFonts w:ascii="Times New Roman" w:eastAsia="Times New Roman" w:hAnsi="Times New Roman" w:cs="Times New Roman"/>
          <w:vanish/>
          <w:sz w:val="24"/>
          <w:szCs w:val="24"/>
        </w:rPr>
      </w:pPr>
    </w:p>
    <w:tbl>
      <w:tblPr>
        <w:tblW w:w="8865" w:type="dxa"/>
        <w:tblCellSpacing w:w="15" w:type="dxa"/>
        <w:tblCellMar>
          <w:top w:w="15" w:type="dxa"/>
          <w:left w:w="15" w:type="dxa"/>
          <w:bottom w:w="15" w:type="dxa"/>
          <w:right w:w="15" w:type="dxa"/>
        </w:tblCellMar>
        <w:tblLook w:val="04A0" w:firstRow="1" w:lastRow="0" w:firstColumn="1" w:lastColumn="0" w:noHBand="0" w:noVBand="1"/>
      </w:tblPr>
      <w:tblGrid>
        <w:gridCol w:w="2835"/>
        <w:gridCol w:w="1980"/>
        <w:gridCol w:w="1800"/>
        <w:gridCol w:w="2250"/>
      </w:tblGrid>
      <w:tr w:rsidR="00772810" w:rsidRPr="00772810" w:rsidTr="00772810">
        <w:trPr>
          <w:trHeight w:val="2205"/>
          <w:tblCellSpacing w:w="15" w:type="dxa"/>
        </w:trPr>
        <w:tc>
          <w:tcPr>
            <w:tcW w:w="279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High credit usage is strongly associated with increased risk of late payments or default.</w:t>
            </w:r>
          </w:p>
        </w:tc>
        <w:tc>
          <w:tcPr>
            <w:tcW w:w="195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Customers using more than 50% of their credit limit</w:t>
            </w:r>
          </w:p>
        </w:tc>
        <w:tc>
          <w:tcPr>
            <w:tcW w:w="177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Credit Utilization, Missed Payments</w:t>
            </w:r>
          </w:p>
        </w:tc>
        <w:tc>
          <w:tcPr>
            <w:tcW w:w="2205"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Offer usage tracking tools or suggest responsible spending limits.</w:t>
            </w:r>
          </w:p>
        </w:tc>
        <w:bookmarkStart w:id="0" w:name="_GoBack"/>
        <w:bookmarkEnd w:id="0"/>
      </w:tr>
    </w:tbl>
    <w:p w:rsidR="00772810" w:rsidRPr="00772810" w:rsidRDefault="00772810" w:rsidP="00772810">
      <w:pPr>
        <w:spacing w:after="0" w:line="240" w:lineRule="auto"/>
        <w:rPr>
          <w:rFonts w:ascii="Times New Roman" w:eastAsia="Times New Roman" w:hAnsi="Times New Roman" w:cs="Times New Roman"/>
          <w:vanish/>
          <w:sz w:val="24"/>
          <w:szCs w:val="24"/>
        </w:rPr>
      </w:pPr>
    </w:p>
    <w:tbl>
      <w:tblPr>
        <w:tblW w:w="8865" w:type="dxa"/>
        <w:tblCellSpacing w:w="15" w:type="dxa"/>
        <w:tblCellMar>
          <w:top w:w="15" w:type="dxa"/>
          <w:left w:w="15" w:type="dxa"/>
          <w:bottom w:w="15" w:type="dxa"/>
          <w:right w:w="15" w:type="dxa"/>
        </w:tblCellMar>
        <w:tblLook w:val="04A0" w:firstRow="1" w:lastRow="0" w:firstColumn="1" w:lastColumn="0" w:noHBand="0" w:noVBand="1"/>
      </w:tblPr>
      <w:tblGrid>
        <w:gridCol w:w="2835"/>
        <w:gridCol w:w="1980"/>
        <w:gridCol w:w="1800"/>
        <w:gridCol w:w="2250"/>
      </w:tblGrid>
      <w:tr w:rsidR="00772810" w:rsidRPr="00772810" w:rsidTr="00772810">
        <w:trPr>
          <w:tblCellSpacing w:w="15" w:type="dxa"/>
        </w:trPr>
        <w:tc>
          <w:tcPr>
            <w:tcW w:w="279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Young borrowers with a record of missed payments are more likely to become delinquent.</w:t>
            </w:r>
          </w:p>
        </w:tc>
        <w:tc>
          <w:tcPr>
            <w:tcW w:w="195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Customers under 30 with 2+ recent missed payments</w:t>
            </w:r>
          </w:p>
        </w:tc>
        <w:tc>
          <w:tcPr>
            <w:tcW w:w="177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Age, Payment History</w:t>
            </w:r>
          </w:p>
        </w:tc>
        <w:tc>
          <w:tcPr>
            <w:tcW w:w="2205"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Proactively engage this group with early financial guidance or hardship support.</w:t>
            </w:r>
          </w:p>
        </w:tc>
      </w:tr>
    </w:tbl>
    <w:p w:rsidR="00772810" w:rsidRPr="00772810" w:rsidRDefault="00772810" w:rsidP="00772810">
      <w:pPr>
        <w:spacing w:after="0" w:line="240" w:lineRule="auto"/>
        <w:rPr>
          <w:rFonts w:ascii="Times New Roman" w:eastAsia="Times New Roman" w:hAnsi="Times New Roman" w:cs="Times New Roman"/>
          <w:vanish/>
          <w:sz w:val="24"/>
          <w:szCs w:val="24"/>
        </w:rPr>
      </w:pPr>
    </w:p>
    <w:tbl>
      <w:tblPr>
        <w:tblW w:w="8865" w:type="dxa"/>
        <w:tblCellSpacing w:w="15" w:type="dxa"/>
        <w:tblCellMar>
          <w:top w:w="15" w:type="dxa"/>
          <w:left w:w="15" w:type="dxa"/>
          <w:bottom w:w="15" w:type="dxa"/>
          <w:right w:w="15" w:type="dxa"/>
        </w:tblCellMar>
        <w:tblLook w:val="04A0" w:firstRow="1" w:lastRow="0" w:firstColumn="1" w:lastColumn="0" w:noHBand="0" w:noVBand="1"/>
      </w:tblPr>
      <w:tblGrid>
        <w:gridCol w:w="2835"/>
        <w:gridCol w:w="1980"/>
        <w:gridCol w:w="1800"/>
        <w:gridCol w:w="2250"/>
      </w:tblGrid>
      <w:tr w:rsidR="00772810" w:rsidRPr="00772810" w:rsidTr="00772810">
        <w:trPr>
          <w:tblCellSpacing w:w="15" w:type="dxa"/>
        </w:trPr>
        <w:tc>
          <w:tcPr>
            <w:tcW w:w="279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Customers with high debt-to-income ratios face greater repayment challenges.</w:t>
            </w:r>
          </w:p>
        </w:tc>
        <w:tc>
          <w:tcPr>
            <w:tcW w:w="195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Individuals with DTI &gt; 0.5</w:t>
            </w:r>
          </w:p>
        </w:tc>
        <w:tc>
          <w:tcPr>
            <w:tcW w:w="1770"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Debt-to-Income Ratio, Income Stability</w:t>
            </w:r>
          </w:p>
        </w:tc>
        <w:tc>
          <w:tcPr>
            <w:tcW w:w="2205" w:type="dxa"/>
            <w:vAlign w:val="center"/>
            <w:hideMark/>
          </w:tcPr>
          <w:p w:rsidR="00772810" w:rsidRPr="00772810" w:rsidRDefault="00772810" w:rsidP="00772810">
            <w:pPr>
              <w:spacing w:after="0" w:line="240" w:lineRule="auto"/>
              <w:rPr>
                <w:rFonts w:ascii="Times New Roman" w:eastAsia="Times New Roman" w:hAnsi="Times New Roman" w:cs="Times New Roman"/>
                <w:sz w:val="24"/>
                <w:szCs w:val="24"/>
              </w:rPr>
            </w:pPr>
            <w:r w:rsidRPr="00772810">
              <w:rPr>
                <w:rFonts w:ascii="Times New Roman" w:eastAsia="Times New Roman" w:hAnsi="Times New Roman" w:cs="Times New Roman"/>
                <w:sz w:val="24"/>
                <w:szCs w:val="24"/>
              </w:rPr>
              <w:t xml:space="preserve">Provide repayment restructuring options or budgeting assistance to reduce financial </w:t>
            </w:r>
            <w:proofErr w:type="spellStart"/>
            <w:r w:rsidRPr="00772810">
              <w:rPr>
                <w:rFonts w:ascii="Times New Roman" w:eastAsia="Times New Roman" w:hAnsi="Times New Roman" w:cs="Times New Roman"/>
                <w:sz w:val="24"/>
                <w:szCs w:val="24"/>
              </w:rPr>
              <w:t>stre</w:t>
            </w:r>
            <w:proofErr w:type="spellEnd"/>
          </w:p>
        </w:tc>
      </w:tr>
    </w:tbl>
    <w:p w:rsidR="00A537D1" w:rsidRPr="00A537D1" w:rsidRDefault="00A537D1">
      <w:pPr>
        <w:rPr>
          <w:rFonts w:ascii="Arial" w:hAnsi="Arial" w:cs="Arial"/>
          <w:color w:val="000000" w:themeColor="text1"/>
        </w:rPr>
      </w:pPr>
    </w:p>
    <w:p w:rsidR="007D72C2" w:rsidRPr="00F303C7" w:rsidRDefault="00A537D1">
      <w:pPr>
        <w:pStyle w:val="Heading1"/>
        <w:rPr>
          <w:rFonts w:ascii="Arial" w:hAnsi="Arial" w:cs="Arial"/>
          <w:color w:val="000000" w:themeColor="text1"/>
        </w:rPr>
      </w:pPr>
      <w:r w:rsidRPr="00F303C7">
        <w:rPr>
          <w:rFonts w:ascii="Arial" w:hAnsi="Arial" w:cs="Arial"/>
          <w:color w:val="000000" w:themeColor="text1"/>
        </w:rPr>
        <w:lastRenderedPageBreak/>
        <w:t>2. Recommendation Framework</w:t>
      </w:r>
    </w:p>
    <w:p w:rsidR="002713CC" w:rsidRDefault="00A537D1" w:rsidP="002713CC">
      <w:pPr>
        <w:rPr>
          <w:rFonts w:ascii="Arial" w:hAnsi="Arial" w:cs="Arial"/>
          <w:color w:val="000000" w:themeColor="text1"/>
        </w:rPr>
      </w:pPr>
      <w:r w:rsidRPr="00F303C7">
        <w:rPr>
          <w:b/>
          <w:sz w:val="24"/>
        </w:rPr>
        <w:t>Restated Insight</w:t>
      </w:r>
      <w:proofErr w:type="gramStart"/>
      <w:r w:rsidRPr="00F303C7">
        <w:rPr>
          <w:b/>
          <w:sz w:val="24"/>
        </w:rPr>
        <w:t>:</w:t>
      </w:r>
      <w:proofErr w:type="gramEnd"/>
      <w:r w:rsidRPr="00F303C7">
        <w:rPr>
          <w:b/>
          <w:sz w:val="24"/>
        </w:rPr>
        <w:br/>
      </w:r>
      <w:r>
        <w:rPr>
          <w:sz w:val="24"/>
        </w:rPr>
        <w:t>Young customers (under 30) with high credit utilization and 2+ missed payments are significantly more likely to become delinquent.</w:t>
      </w:r>
      <w:r>
        <w:rPr>
          <w:sz w:val="24"/>
        </w:rPr>
        <w:br/>
      </w:r>
      <w:r>
        <w:rPr>
          <w:sz w:val="24"/>
        </w:rPr>
        <w:br/>
      </w:r>
      <w:r w:rsidRPr="00F303C7">
        <w:rPr>
          <w:b/>
          <w:sz w:val="24"/>
        </w:rPr>
        <w:t>Proposed Recommendation:</w:t>
      </w:r>
      <w:r w:rsidR="002713CC" w:rsidRPr="002713CC">
        <w:rPr>
          <w:rFonts w:ascii="Arial" w:hAnsi="Arial" w:cs="Arial"/>
          <w:color w:val="000000" w:themeColor="text1"/>
        </w:rPr>
        <w:t xml:space="preserve"> </w:t>
      </w:r>
    </w:p>
    <w:p w:rsidR="002713CC" w:rsidRPr="00115021" w:rsidRDefault="002713CC" w:rsidP="002713CC">
      <w:pPr>
        <w:rPr>
          <w:rFonts w:ascii="Arial" w:hAnsi="Arial" w:cs="Arial"/>
          <w:color w:val="000000" w:themeColor="text1"/>
        </w:rPr>
      </w:pPr>
      <w:r w:rsidRPr="00115021">
        <w:rPr>
          <w:rFonts w:ascii="Arial" w:hAnsi="Arial" w:cs="Arial"/>
          <w:color w:val="000000" w:themeColor="text1"/>
        </w:rPr>
        <w:t>Launch a 6-week pilot outreach campaign targeting this segment with proactive SMS and email messaging. The goal is to offer tailored payment plans or financial counselling support before accounts reach 30+ days delinquent.</w:t>
      </w:r>
    </w:p>
    <w:p w:rsidR="007D72C2" w:rsidRPr="00A537D1" w:rsidRDefault="00A537D1" w:rsidP="00A01DA6">
      <w:pPr>
        <w:rPr>
          <w:rFonts w:ascii="Arial" w:hAnsi="Arial" w:cs="Arial"/>
          <w:color w:val="000000" w:themeColor="text1"/>
        </w:rPr>
      </w:pPr>
      <w:r w:rsidRPr="00F303C7">
        <w:rPr>
          <w:b/>
          <w:sz w:val="24"/>
        </w:rPr>
        <w:t>Specific:</w:t>
      </w:r>
      <w:r w:rsidR="002713CC" w:rsidRPr="002713CC">
        <w:rPr>
          <w:rFonts w:ascii="Arial" w:hAnsi="Arial" w:cs="Arial"/>
          <w:color w:val="000000" w:themeColor="text1"/>
        </w:rPr>
        <w:t xml:space="preserve"> </w:t>
      </w:r>
      <w:r w:rsidR="002713CC" w:rsidRPr="00115021">
        <w:rPr>
          <w:rFonts w:ascii="Arial" w:hAnsi="Arial" w:cs="Arial"/>
          <w:color w:val="000000" w:themeColor="text1"/>
        </w:rPr>
        <w:t>Focused on a clearly defined, high-risk group.</w:t>
      </w:r>
      <w:r>
        <w:rPr>
          <w:sz w:val="24"/>
        </w:rPr>
        <w:br/>
      </w:r>
      <w:r w:rsidRPr="00F303C7">
        <w:rPr>
          <w:b/>
          <w:sz w:val="24"/>
        </w:rPr>
        <w:t>Measurable:</w:t>
      </w:r>
      <w:r>
        <w:rPr>
          <w:sz w:val="24"/>
        </w:rPr>
        <w:t xml:space="preserve"> Target a 10–15% reduction in 30-day delinquency</w:t>
      </w:r>
      <w:r>
        <w:rPr>
          <w:sz w:val="24"/>
        </w:rPr>
        <w:br/>
      </w:r>
      <w:r w:rsidRPr="00F303C7">
        <w:rPr>
          <w:b/>
          <w:sz w:val="24"/>
        </w:rPr>
        <w:t xml:space="preserve">Actionable: </w:t>
      </w:r>
      <w:r>
        <w:rPr>
          <w:sz w:val="24"/>
        </w:rPr>
        <w:t>Use existing CRM tools for segmentation and outreach</w:t>
      </w:r>
      <w:r>
        <w:rPr>
          <w:sz w:val="24"/>
        </w:rPr>
        <w:br/>
      </w:r>
      <w:r w:rsidRPr="00F303C7">
        <w:rPr>
          <w:b/>
          <w:sz w:val="24"/>
        </w:rPr>
        <w:t>Relevant:</w:t>
      </w:r>
      <w:r>
        <w:rPr>
          <w:sz w:val="24"/>
        </w:rPr>
        <w:t xml:space="preserve"> Directly addresses top risk group identified by the model</w:t>
      </w:r>
      <w:r>
        <w:rPr>
          <w:sz w:val="24"/>
        </w:rPr>
        <w:br/>
      </w:r>
      <w:r w:rsidRPr="00F303C7">
        <w:rPr>
          <w:b/>
          <w:sz w:val="24"/>
        </w:rPr>
        <w:t>Time-bound:</w:t>
      </w:r>
      <w:r>
        <w:rPr>
          <w:sz w:val="24"/>
        </w:rPr>
        <w:t xml:space="preserve"> Campaign duration of 6 weeks with performance review after 30 days</w:t>
      </w:r>
      <w:r>
        <w:rPr>
          <w:sz w:val="24"/>
        </w:rPr>
        <w:br/>
      </w:r>
      <w:r>
        <w:rPr>
          <w:sz w:val="24"/>
        </w:rPr>
        <w:br/>
      </w:r>
      <w:r w:rsidRPr="00F303C7">
        <w:rPr>
          <w:b/>
          <w:sz w:val="24"/>
        </w:rPr>
        <w:t>Justification and Business Rationale</w:t>
      </w:r>
      <w:proofErr w:type="gramStart"/>
      <w:r w:rsidRPr="00F303C7">
        <w:rPr>
          <w:b/>
          <w:sz w:val="24"/>
        </w:rPr>
        <w:t>:</w:t>
      </w:r>
      <w:proofErr w:type="gramEnd"/>
      <w:r>
        <w:rPr>
          <w:sz w:val="24"/>
        </w:rPr>
        <w:br/>
        <w:t>The Gen Z segment with poor credit behavior is at 3.4x higher risk. This campaign is low-cost, fast to deploy, and builds trust while preventing future losses.</w:t>
      </w:r>
    </w:p>
    <w:p w:rsidR="007D72C2" w:rsidRPr="00F303C7" w:rsidRDefault="00A537D1">
      <w:pPr>
        <w:pStyle w:val="Heading1"/>
        <w:rPr>
          <w:rFonts w:ascii="Arial" w:hAnsi="Arial" w:cs="Arial"/>
          <w:color w:val="000000" w:themeColor="text1"/>
        </w:rPr>
      </w:pPr>
      <w:r w:rsidRPr="00F303C7">
        <w:rPr>
          <w:rFonts w:ascii="Arial" w:hAnsi="Arial" w:cs="Arial"/>
          <w:color w:val="000000" w:themeColor="text1"/>
        </w:rPr>
        <w:t>3. Ethical and Responsible AI Considerations</w:t>
      </w:r>
    </w:p>
    <w:p w:rsidR="00772810" w:rsidRDefault="00772810" w:rsidP="00772810">
      <w:pPr>
        <w:pStyle w:val="NormalWeb"/>
      </w:pPr>
      <w:r>
        <w:rPr>
          <w:rStyle w:val="Strong"/>
        </w:rPr>
        <w:t>Bias Mitigation</w:t>
      </w:r>
      <w:proofErr w:type="gramStart"/>
      <w:r>
        <w:rPr>
          <w:rStyle w:val="Strong"/>
        </w:rPr>
        <w:t>:</w:t>
      </w:r>
      <w:proofErr w:type="gramEnd"/>
      <w:r>
        <w:br/>
        <w:t>To ensure fairness, the model was assessed across various demographic groups, including age and income levels. The results showed that no particular customer group was unfairly flagged, indicating that the model's predictions are balanced and equitable.</w:t>
      </w:r>
    </w:p>
    <w:p w:rsidR="00772810" w:rsidRDefault="00772810" w:rsidP="00772810">
      <w:pPr>
        <w:pStyle w:val="NormalWeb"/>
      </w:pPr>
      <w:r>
        <w:rPr>
          <w:rStyle w:val="Strong"/>
        </w:rPr>
        <w:t>Explainability</w:t>
      </w:r>
      <w:proofErr w:type="gramStart"/>
      <w:r>
        <w:rPr>
          <w:rStyle w:val="Strong"/>
        </w:rPr>
        <w:t>:</w:t>
      </w:r>
      <w:proofErr w:type="gramEnd"/>
      <w:r>
        <w:br/>
        <w:t>A logistic regression model was chosen for its clarity. It allows stakeholders to understand how each factor — such as missed payments or credit utilization — contributes to a customer’s risk level. This improves transparency and supports trust in AI-driven decisions.</w:t>
      </w:r>
    </w:p>
    <w:p w:rsidR="00772810" w:rsidRDefault="00772810" w:rsidP="00772810">
      <w:pPr>
        <w:pStyle w:val="NormalWeb"/>
      </w:pPr>
      <w:r>
        <w:rPr>
          <w:rStyle w:val="Strong"/>
        </w:rPr>
        <w:t>Responsible Application</w:t>
      </w:r>
      <w:proofErr w:type="gramStart"/>
      <w:r>
        <w:rPr>
          <w:rStyle w:val="Strong"/>
        </w:rPr>
        <w:t>:</w:t>
      </w:r>
      <w:proofErr w:type="gramEnd"/>
      <w:r>
        <w:br/>
        <w:t xml:space="preserve">The recommended actions focus on </w:t>
      </w:r>
      <w:r>
        <w:rPr>
          <w:rStyle w:val="Strong"/>
        </w:rPr>
        <w:t>early and supportive interventions</w:t>
      </w:r>
      <w:r>
        <w:t>, like financial counseling or flexible repayment plans. This ensures that predictions are used to assist customers rather than penalize them, reinforcing Geldium’s commitment to fairness, empathy, and ethical financial practices.</w:t>
      </w:r>
    </w:p>
    <w:p w:rsidR="007D72C2" w:rsidRPr="00A537D1" w:rsidRDefault="007D72C2">
      <w:pPr>
        <w:rPr>
          <w:rFonts w:ascii="Arial" w:hAnsi="Arial" w:cs="Arial"/>
          <w:color w:val="000000" w:themeColor="text1"/>
        </w:rPr>
      </w:pP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13CC"/>
    <w:rsid w:val="0028078C"/>
    <w:rsid w:val="0029639D"/>
    <w:rsid w:val="00326F90"/>
    <w:rsid w:val="00772810"/>
    <w:rsid w:val="007D72C2"/>
    <w:rsid w:val="008237CA"/>
    <w:rsid w:val="00A01DA6"/>
    <w:rsid w:val="00A537D1"/>
    <w:rsid w:val="00AA1D8D"/>
    <w:rsid w:val="00B47730"/>
    <w:rsid w:val="00CB0664"/>
    <w:rsid w:val="00F30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CellMar>
        <w:top w:w="0" w:type="dxa"/>
        <w:left w:w="108" w:type="dxa"/>
        <w:bottom w:w="0" w:type="dxa"/>
        <w:right w:w="108" w:type="dxa"/>
      </w:tblCellMar>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styleId="NormalWeb">
    <w:name w:val="Normal (Web)"/>
    <w:basedOn w:val="Normal"/>
    <w:uiPriority w:val="99"/>
    <w:semiHidden/>
    <w:unhideWhenUsed/>
    <w:rsid w:val="007728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59118">
      <w:bodyDiv w:val="1"/>
      <w:marLeft w:val="0"/>
      <w:marRight w:val="0"/>
      <w:marTop w:val="0"/>
      <w:marBottom w:val="0"/>
      <w:divBdr>
        <w:top w:val="none" w:sz="0" w:space="0" w:color="auto"/>
        <w:left w:val="none" w:sz="0" w:space="0" w:color="auto"/>
        <w:bottom w:val="none" w:sz="0" w:space="0" w:color="auto"/>
        <w:right w:val="none" w:sz="0" w:space="0" w:color="auto"/>
      </w:divBdr>
    </w:div>
    <w:div w:id="11866759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DBB6C-49AD-4CBA-9D2A-5418279E8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cp:lastModifiedBy>
  <cp:revision>4</cp:revision>
  <dcterms:created xsi:type="dcterms:W3CDTF">2013-12-23T23:15:00Z</dcterms:created>
  <dcterms:modified xsi:type="dcterms:W3CDTF">2025-07-09T00:16:00Z</dcterms:modified>
  <cp:category/>
</cp:coreProperties>
</file>