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24"/>
        </w:rPr>
        <w:t>2026년 AI기반 위성정보 활용 서비스 확산사업</w:t>
      </w:r>
    </w:p>
    <w:p>
      <w:pPr>
        <w:spacing w:after="600"/>
        <w:jc w:val="center"/>
      </w:pPr>
      <w:r>
        <w:rPr>
          <w:rFonts w:ascii="맑은 고딕" w:hAnsi="맑은 고딕" w:eastAsia="맑은 고딕"/>
          <w:b/>
          <w:i w:val="0"/>
          <w:color w:val="1F3864"/>
          <w:sz w:val="52"/>
        </w:rPr>
        <w:t>PRD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문서번호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JSA-PF-DS-001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시스템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지반침하 스마트 관리 시스템(통합플랫폼)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분류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설계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V0.1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2026. 10. 16.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박가람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검토·승인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-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제·개정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날짜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변경 내용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승인자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2026-10-16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최초 작성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박가람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-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1. 배경 및 문제 정의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사업 배경: 「2026년 AI기반 위성정보 활용 서비스 확산사업」 세세부3은 지반침하 스마트 관리 시스템(통합플랫폼) 구축이다. 세세부1(지반침하 위험지도)과 세세부2(SAR/InSAR 지표변위 분석)의 산출물을 받아 지도 기반으로 관리·제공하는 SaaS 형 통합플랫폼이며, 개발팀이 수행하는 범위는 서버·인프라 설계(WBS ID 2)와 CSAP 인증 신청(WBS ID 32~35)이다.</w:t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해결할 문제</w:t>
      </w:r>
      <w:r>
        <w:rPr>
          <w:rFonts w:ascii="맑은 고딕" w:hAnsi="맑은 고딕" w:eastAsia="맑은 고딕"/>
          <w:sz w:val="20"/>
        </w:rPr>
        <w:t xml:space="preserve">: ① 외부 분석 산출물과 공간정보를 조직·워크스페이스 단위로 격리해 제공할 플랫폼이 필요하다(테넌트 격리, SaaS 확산을 고려한 보안·접근제어). ② 외부 지도 서비스(XYZ·WMTS·WMS 등)를 브라우저가 직접 호출하면 상대 서버가 CORS 를 열지 않을 때 지도가 뜨지 않고, URL 에 인증키가 있으면 브라우저에 그대로 노출되므로 서버가 대신 호출하는 구조가 필요하다. 그 대가로 사용자가 등록한 주소가 내부망을 가리키지 못하게 막는 SSRF(서버 측 요청 위조) 방어가 필수가 된다. ③ 공공기관에 제공하려면 CSAP 인증 신청에 필요한 보안 요구사항 반영과 증적이 필요하다.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활용 시나리오(프로토타입 기준)</w:t>
      </w:r>
      <w:r>
        <w:rPr>
          <w:rFonts w:ascii="맑은 고딕" w:hAnsi="맑은 고딕" w:eastAsia="맑은 고딕"/>
          <w:sz w:val="20"/>
        </w:rPr>
        <w:t xml:space="preserve">: 제주특별자치도 위험지역의 점검 우선순위를 판단하기 위해 위성 변위(InSAR), 관로 노후도, 침하 사고 이력, 지질, 굴착공사 자료를 겹쳐 보는 화면이 프로토타입(</w:t>
      </w:r>
      <w:r>
        <w:rPr>
          <w:rFonts w:ascii="Consolas" w:hAnsi="Consolas" w:eastAsia="맑은 고딕"/>
          <w:sz w:val="18"/>
        </w:rPr>
        <w:t xml:space="preserve">Jeju-subsidence-AI</w:t>
      </w:r>
      <w:r>
        <w:rPr>
          <w:rFonts w:ascii="맑은 고딕" w:hAnsi="맑은 고딕" w:eastAsia="맑은 고딕"/>
          <w:sz w:val="20"/>
        </w:rPr>
        <w:t xml:space="preserve">)으로 만들어져 있다. 프로토타입은 지도 레이어뿐 아니라 데이터를 보여 주는 모듈과 데이터 표현 방식의 예시를 담은 </w:t>
      </w:r>
      <w:r>
        <w:rPr>
          <w:rFonts w:ascii="맑은 고딕" w:hAnsi="맑은 고딕" w:eastAsia="맑은 고딕"/>
          <w:b/>
          <w:sz w:val="20"/>
        </w:rPr>
        <w:t xml:space="preserve">참조 기준 자료</w:t>
      </w:r>
      <w:r>
        <w:rPr>
          <w:rFonts w:ascii="맑은 고딕" w:hAnsi="맑은 고딕" w:eastAsia="맑은 고딕"/>
          <w:sz w:val="20"/>
        </w:rPr>
        <w:t xml:space="preserve">이며, 이를 보고 통합플랫폼 안에서 새로 개발하는 방안을 검토하고 있다.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현재 단계: 통합플랫폼은 인증·권한·지도 소스·타일 프록시를 구현했고, 서버·인프라 설계와 배포·수신·보안 설계를 보강 중이다. 프로토타입을 분석하며 통합플랫폼과의 결합 방식을 검토하고 있다.</w:t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2. 목표와 비목표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목표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통합플랫폼의 인증·권한·지도 기능과 배포·수신·보안 기반을 구축·검증하고 서버 및 인프라 아키텍처 설계서 1식을 제출한다(WBS ID 2, 기한 2026-11-27).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CSAP 인증 신청에 필요한 보안 요구사항 반영 결과서·보안 운영체계 구성도·인증 대응 문서·인증 신청서를 제출 가능한 상태로 준비한다(WBS ID 32~35, 2026-12-31).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프로토타입 분석 뒤 통합플랫폼과의 결합 방식을 결정한다.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비목표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WBS ID 9~31(인메모리 연산 엔진, HITL 분석 알고리즘, UI/UX 고도화, 분석 리포트 자동 구현)은 개발팀 범위 밖(타 팀 소관)으로 분류되어 있다.</w:t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세세부1·2 의 ETL 파이프라인 자체(통합플랫폼은 수신 쪽 인터페이스만 제공한다).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마이크로서비스 전면 분해 실행(서비스 단위 도출과 설계까지이며, 분해 여부와 근거는 ADR 로 확정했다).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CSAP 심사 대응과 인증 취득, ISMS-P 인증.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3. 사용자·이해관계자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3500"/>
        <w:gridCol w:w="4246"/>
      </w:tblGrid>
      <w:tr>
        <w:trPr>
          <w:tblHeader/>
        </w:trPr>
        <w:tc>
          <w:tcPr>
            <w:tcW w:type="dxa" w:w="20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구분</w:t>
            </w:r>
          </w:p>
        </w:tc>
        <w:tc>
          <w:tcPr>
            <w:tcW w:type="dxa" w:w="35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설명</w:t>
            </w:r>
          </w:p>
        </w:tc>
        <w:tc>
          <w:tcPr>
            <w:tcW w:type="dxa" w:w="42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주요 요구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고객 사용자(customer)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조직·워크스페이스 구성원(조직 OWNER·ADMIN·EDITOR·VIEWER, 워크스페이스 ADMIN·EDITOR·VIEWER)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자기 조직·워크스페이스 자료만 접근(비멤버에게 존재 은닉), 지도 소스·레이어 구성과 조회, 멤버·역할 관리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관리자(admin)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플랫폼 운영자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고객 데이터는 API 로만 접근, 운영자 전용 통제(역할 구분·2FA·IP 제한 등)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지반침하 점검 담당(프로토타입 기준)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제주특별자치도 위험지역의 점검 우선순위를 확인하는 사용자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위험지역 순위·판단 근거 조회, 레이어 토글, 결과 내보내기(프로토타입 기준)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세세부1·2 수행 주체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산출물 송신 시스템(</w:t>
            </w:r>
            <w:r>
              <w:rPr>
                <w:rFonts w:ascii="Consolas" w:hAnsi="Consolas" w:eastAsia="맑은 고딕"/>
                <w:sz w:val="16"/>
              </w:rPr>
              <w:t xml:space="preserve">SUBSYSTEM_LANDSLIDE</w:t>
            </w:r>
            <w:r>
              <w:rPr>
                <w:rFonts w:ascii="맑은 고딕" w:hAnsi="맑은 고딕" w:eastAsia="맑은 고딕"/>
                <w:sz w:val="18"/>
              </w:rPr>
              <w:t xml:space="preserve">, </w:t>
            </w:r>
            <w:r>
              <w:rPr>
                <w:rFonts w:ascii="Consolas" w:hAnsi="Consolas" w:eastAsia="맑은 고딕"/>
                <w:sz w:val="16"/>
              </w:rPr>
              <w:t xml:space="preserve">SUBSYSTEM_INSAR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산출물 전달(파일 형식·좌표계, 1회 용량·갱신 주기, 전달 방식, 격자 체계, 인증·인가 경계 협의)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발주처(이용기관)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서비스 이용·검수 주체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설계서·CSAP 신청 자료 수령, 시스템 등급(하등급 여부)과 수신 산출물 공개 여부 확인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개발팀(㈜이노팸)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개발·운영 주체(운영 인력 사실상 1인 전제)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단순한 운영 구조, 재현 가능한 배포, 문서화된 결정 근거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협력사(㈜소다시스템)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사업 수행 협력사</w:t>
            </w:r>
          </w:p>
        </w:tc>
        <w:tc>
          <w:tcPr>
            <w:tcW w:type="dxa" w:w="4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-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4. 기능 요구사항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1800"/>
        <w:gridCol w:w="5146"/>
        <w:gridCol w:w="2000"/>
      </w:tblGrid>
      <w:tr>
        <w:trPr>
          <w:tblHeader/>
        </w:trPr>
        <w:tc>
          <w:tcPr>
            <w:tcW w:type="dxa" w:w="8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ID</w:t>
            </w:r>
          </w:p>
        </w:tc>
        <w:tc>
          <w:tcPr>
            <w:tcW w:type="dxa" w:w="18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기능</w:t>
            </w:r>
          </w:p>
        </w:tc>
        <w:tc>
          <w:tcPr>
            <w:tcW w:type="dxa" w:w="51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설명</w:t>
            </w:r>
          </w:p>
        </w:tc>
        <w:tc>
          <w:tcPr>
            <w:tcW w:type="dxa" w:w="20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우선순위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FR-01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인증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로그인·로그아웃·세션 갱신·내 정보 조회. HttpOnly 쿠키 JWT + CSRF 토큰, 연속 5회 실패 시 15분 잠금, refresh 회전·재사용 감지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FR-02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조직·멤버 관리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조직 생성·수정·삭제·탈퇴, 멤버 추가·역할 변경·제거(OWNER·ADMIN·EDITOR·VIEWER). 조직의 마지막 OWNER 는 강등·제거·탈퇴 불가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FR-03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워크스페이스 관리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조직 안의 워크스페이스 생성·수정·삭제와 멤버 관리(ADMIN·EDITOR·VIEWER). 조직 OWNER·ADMIN 은 모든 워크스페이스의 ADMIN 상속, 비멤버에게는 404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FR-04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지도 소스 관리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소스 7종(XYZ·TMS·WMTS·TILEJSON·WMS·ARCGIS_MAPSERVER·GEOJSON) 등록·수정·삭제, 종류별 파라미터 검증, 인증키 암호화 저장, WMTS Capabilities 조회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  <w:r>
              <w:rPr>
                <w:rFonts w:ascii="Consolas" w:hAnsi="Consolas" w:eastAsia="맑은 고딕"/>
                <w:sz w:val="16"/>
              </w:rPr>
              <w:t xml:space="preserve"/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FR-05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레이어 관리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레이어 생성·수정·삭제, 순서·투명도(워크스페이스 공유)와 표시/숨김(개인) 관리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FR-06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지도 화면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레이어 렌더링(MapLibre), 소스 종류별 등록 폼, URL 해시 상태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FR-07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타일 프록시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서버가 외부 타일을 대신 호출 — 사설 IP 차단(SSRF), 응답 정책, 인증키 서버 보관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FR-08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ETL 산출물 수신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세세부1·2 산출물의 메타데이터 등록·조회, 식별자 기반 멱등 판정, 버전과 최신 표시(</w:t>
            </w:r>
            <w:r>
              <w:rPr>
                <w:rFonts w:ascii="Consolas" w:hAnsi="Consolas" w:eastAsia="맑은 고딕"/>
                <w:sz w:val="16"/>
              </w:rPr>
              <w:t xml:space="preserve">is_current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골격 구현(실데이터 어댑터는 산출물 형식 확정 뒤 적용)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FR-09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감사 로그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권한 변경·주요 자원 변경·삭제의 행위자·대상·변경 필드 기록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FR-10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관리자 인증(admin)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관리자 제품의 인증. customer 와 DB·서명키 분리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구현 완료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FR-P1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점검 우선순위 목록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위험지역 후보를 위험등급(A~E)·CSI 점수 순의 카드 목록과 등급 분포(도넛)로 제공, 등급 필터. 직전 조회 대비 신규·상향 후보 배지와 필터 칩, 알림 표시 — 프로토타입 기준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요구사항 후보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FR-P2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위험지역 상세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원인 후보(1·2순위)와 판단 근거(인자별 기여도 막대와 실측값, 지반 변위는 관측점 수, 자료 없는 인자 표기) 표시 — 프로토타입 기준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요구사항 후보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FR-P3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위험도 산정·레이어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위성 변위(InSAR)·관로·침하 이력·지질·굴착공사 인자의 가중합(CSI)으로 100m 격자 등급과 위험지역 후보를 산정·표시하고, 변위·관로·굴착 레이어와 범례 제공 — 프로토타입 기준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요구사항 후보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FR-P4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분석 설정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위치·기간 선택(기간은 굴착 허가 이력에만 적용) — 프로토타입 기준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요구사항 후보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FR-P5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내보내기</w:t>
            </w:r>
          </w:p>
        </w:tc>
        <w:tc>
          <w:tcPr>
            <w:tcW w:type="dxa" w:w="5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공간정보(GeoJSON·CSV)와 보고서(PDF·Excel) 내보내기, 상세 화면에서는 선택한 1건만 — 프로토타입 기준</w:t>
            </w:r>
          </w:p>
        </w:tc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요구사항 후보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FR-P 로 시작하는 항목은 프로토타입이 보여 주는 기능에서 도출한 요구사항 후보이며, 결합 방식과 범위가 정해지기 전까지 확정된 요구사항이 아니다. FR-P1~P5 는 점검 우선순위 화면(지도·순위·상세·분석 설정·내보내기)에서 도출한 후보이며, 우선순위와 그 밖의 프로토타입 기능(관리자 화면 등)의 반영 범위는 결합 방식 결정 때 정한다.</w:t>
      </w:r>
      <w:r>
        <w:rPr>
          <w:rFonts w:ascii="맑은 고딕" w:hAnsi="맑은 고딕" w:eastAsia="맑은 고딕"/>
          <w:b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5. 비기능 요구사항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3700"/>
        <w:gridCol w:w="4146"/>
      </w:tblGrid>
      <w:tr>
        <w:trPr>
          <w:tblHeader/>
        </w:trPr>
        <w:tc>
          <w:tcPr>
            <w:tcW w:type="dxa" w:w="19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구분</w:t>
            </w:r>
          </w:p>
        </w:tc>
        <w:tc>
          <w:tcPr>
            <w:tcW w:type="dxa" w:w="37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요구</w:t>
            </w:r>
          </w:p>
        </w:tc>
        <w:tc>
          <w:tcPr>
            <w:tcW w:type="dxa" w:w="41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기준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보안(인증·인가)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쿠키 기반 JWT·CSRF, 2층 멤버십, 존재 은닉(404), 제품 간 격리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보안 갭 분석 14개 항목 기준 판정과 보완(설계서 9장)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보안(외부 호출)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SSRF 방어, 인증키 비노출, 외부 응답 콘텐츠 제한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사설 IP 소스 등록 거부(400002), 응답에 비밀 미포함, </w:t>
            </w:r>
            <w:r>
              <w:rPr>
                <w:rFonts w:ascii="Consolas" w:hAnsi="Consolas" w:eastAsia="맑은 고딕"/>
                <w:sz w:val="16"/>
              </w:rPr>
              <w:t xml:space="preserve">nosniff</w:t>
            </w:r>
            <w:r>
              <w:rPr>
                <w:rFonts w:ascii="맑은 고딕" w:hAnsi="맑은 고딕" w:eastAsia="맑은 고딕"/>
                <w:sz w:val="18"/>
              </w:rPr>
              <w:t xml:space="preserve">·CSP 헤더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인증(CSAP)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하등급 SaaS(조건부), 대상 customer+admin, 운영 타깃 NCP 공공기관용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통제항목 갭 분석·반영·신청서를 제출 가능한 상태로(2026-12-31)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가용성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다중 인스턴스·무중단 배포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롤링 업데이트(maxUnavailable: 0)·startup/readiness/liveness 프로브는 api·web 4개 Deployment 공통이고 다중 인스턴스와 PDB(minAvailable: 1)는 api 에 적용한다(customer-api 전 환경 2, admin-api 로컬·운영 2·개발 1, web 은 전 환경 1). 파드 삭제 중 반복 요청 30/30, 롤링 업데이트(kubectl rollout restart) 중 40/40 으로 실패 0건</w:t>
            </w:r>
            <w:r>
              <w:rPr>
                <w:rFonts w:ascii="Consolas" w:hAnsi="Consolas" w:eastAsia="맑은 고딕"/>
                <w:sz w:val="16"/>
              </w:rPr>
              <w:t xml:space="preserve"/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  <w:r>
              <w:rPr>
                <w:rFonts w:ascii="Consolas" w:hAnsi="Consolas" w:eastAsia="맑은 고딕"/>
                <w:sz w:val="16"/>
              </w:rPr>
              <w:t xml:space="preserve"/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  <w:r>
              <w:rPr>
                <w:rFonts w:ascii="Consolas" w:hAnsi="Consolas" w:eastAsia="맑은 고딕"/>
                <w:sz w:val="16"/>
              </w:rPr>
              <w:t xml:space="preserve"/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운영성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1인 운영 전제의 단순한 구조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Ingress 단독, Kafka·Keycloak 없이 구성, JSON 구조 로그 + request_id</w:t>
            </w:r>
            <w:r>
              <w:rPr>
                <w:rFonts w:ascii="Consolas" w:hAnsi="Consolas" w:eastAsia="맑은 고딕"/>
                <w:sz w:val="16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이식성·배포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벤더 중립 chart, 같은 이미지의 환경 간 승격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이미지 digest 고정, </w:t>
            </w:r>
            <w:r>
              <w:rPr>
                <w:rFonts w:ascii="Consolas" w:hAnsi="Consolas" w:eastAsia="맑은 고딕"/>
                <w:sz w:val="16"/>
              </w:rPr>
              <w:t xml:space="preserve">latest</w:t>
            </w:r>
            <w:r>
              <w:rPr>
                <w:rFonts w:ascii="맑은 고딕" w:hAnsi="맑은 고딕" w:eastAsia="맑은 고딕"/>
                <w:sz w:val="18"/>
              </w:rPr>
              <w:t xml:space="preserve"> 미사용, 3환경 사다리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데이터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제품별 DB 분리, 수신 산출물의 추적성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식별자·버전·SHA-256 해시 보관, 이전 버전 유지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성능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성능 목표 수치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chart 기본 자원값(customer-api 요청 250m CPU·512Mi)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로그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구조화 로그, 비밀·개인정보 금지, 보존 기간·무결성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보존 기간은 CSAP 기준에 맞춰 결정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환경 제약(프로토타입 기준 후보)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망 분리 환경에서 외부 타일 서버 없이 지도를 표시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후보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6. 성공 기준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통합 분석 엔진 서버 구축 및 인프라 설계(WBS ID 2~8)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서버 및 인프라 아키텍처 설계서 1식 제출(기한 2026-11-27).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검증 계획(기준선 대비): 백엔드(api-core·customer·admin) 0 failed, web 단위 기준선 유지, smoke 3종 연속 2회 동일 PASS, </w:t>
      </w:r>
      <w:r>
        <w:rPr>
          <w:rFonts w:ascii="Consolas" w:hAnsi="Consolas" w:eastAsia="맑은 고딕"/>
          <w:sz w:val="18"/>
        </w:rPr>
        <w:t xml:space="preserve">helm lint</w:t>
      </w:r>
      <w:r>
        <w:rPr>
          <w:rFonts w:ascii="맑은 고딕" w:hAnsi="맑은 고딕" w:eastAsia="맑은 고딕"/>
          <w:sz w:val="20"/>
        </w:rPr>
        <w:t xml:space="preserve">·</w:t>
      </w:r>
      <w:r>
        <w:rPr>
          <w:rFonts w:ascii="Consolas" w:hAnsi="Consolas" w:eastAsia="맑은 고딕"/>
          <w:sz w:val="18"/>
        </w:rPr>
        <w:t xml:space="preserve">helm template</w:t>
      </w:r>
      <w:r>
        <w:rPr>
          <w:rFonts w:ascii="맑은 고딕" w:hAnsi="맑은 고딕" w:eastAsia="맑은 고딕"/>
          <w:sz w:val="20"/>
        </w:rPr>
        <w:t xml:space="preserve"> 0 error, 로컬 k3s 배포 뒤 </w:t>
      </w:r>
      <w:r>
        <w:rPr>
          <w:rFonts w:ascii="Consolas" w:hAnsi="Consolas" w:eastAsia="맑은 고딕"/>
          <w:sz w:val="18"/>
        </w:rPr>
        <w:t xml:space="preserve">/actuator/health</w:t>
      </w:r>
      <w:r>
        <w:rPr>
          <w:rFonts w:ascii="맑은 고딕" w:hAnsi="맑은 고딕" w:eastAsia="맑은 고딕"/>
          <w:sz w:val="20"/>
        </w:rPr>
        <w:t xml:space="preserve"> UP·파드 Ready, 마크다운·링크 0 issues.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CSAP 인증 신청(WBS ID 32~35)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신청 자료(인증 신청서, 보안 요구사항 반영 결과서, 보안 운영체계 구성도, 인증 대응 문서)가 제출 가능한 상태로 완성된다. 인증 취득은 범위 밖이다.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통제항목 미판정 0건, ‘조치 필요’로 남은 항목 0건 또는 사유 기재, 보완 뒤에도 전체 회귀 기준선 유지·파드 Ready.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프로토타입 결합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결합 방식이 ADR 로 결정되고 범위·담당이 확정된다.</w:t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7. 일정·의존성·위험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3700"/>
        <w:gridCol w:w="4146"/>
      </w:tblGrid>
      <w:tr>
        <w:trPr>
          <w:tblHeader/>
        </w:trPr>
        <w:tc>
          <w:tcPr>
            <w:tcW w:type="dxa" w:w="19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37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기간·내용</w:t>
            </w:r>
          </w:p>
        </w:tc>
        <w:tc>
          <w:tcPr>
            <w:tcW w:type="dxa" w:w="41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비고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서버·인프라 설계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2026-08-03 ~ 2026-11-27(월~금 기준 85일)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WBS ID 2~8(이 중 개발팀 수행 ID 3~8, 가중치 3.5%). 산출물: 서버 및 인프라 아키텍처 설계서 1식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CSAP 인증 신청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2026-11-02 ~ 2026-12-31(월~금 기준 44일)</w:t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WBS ID 32~35, 가중치 3.5%. 종료일이 사업 종료일(12-31)과 같고, 선행 서버·인프라 설계(11-27 종료) 일정에 의존한다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WBS 진척(2026-10-12 기준)</w:t>
            </w:r>
          </w:p>
        </w:tc>
        <w:tc>
          <w:tcPr>
            <w:tcW w:type="dxa" w:w="3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ID 2·3 58.82%, ID 4·5·7 47.06%, ID 6·8 52.94%, ID 32~34 0%, ID 35 30.77%</w:t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  <w:r>
              <w:rPr>
                <w:rFonts w:ascii="맑은 고딕" w:hAnsi="맑은 고딕" w:eastAsia="맑은 고딕"/>
                <w:sz w:val="18"/>
              </w:rPr>
              <w:t xml:space="preserve"/>
            </w:r>
          </w:p>
        </w:tc>
        <w:tc>
          <w:tcPr>
            <w:tcW w:type="dxa" w:w="41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계획 58.82%는 ID 2~8 의 값이고 ID 32~35 는 11/2 착수 전이라 계획 0%. 완료율은 ‘계획 주 수 중 실적 표시가 찍힌 주의 비율’이다.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선행 조건·의존성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세세부1·2 산출물의 형식·좌표계, 1회 용량·갱신 주기, 전달 방식, 격자 체계, 인증·인가 경계 확정. 의존 대상은 세세부1(㈜소다시스템)·세세부2(㈜이노팸)다.</w:t>
      </w:r>
      <w:r>
        <w:rPr>
          <w:rFonts w:ascii="맑은 고딕" w:hAnsi="맑은 고딕" w:eastAsia="맑은 고딕"/>
          <w:sz w:val="20"/>
        </w:rPr>
        <w:t xml:space="preserve"/>
      </w:r>
      <w:r>
        <w:rPr>
          <w:rFonts w:ascii="맑은 고딕" w:hAnsi="맑은 고딕" w:eastAsia="맑은 고딕"/>
          <w:sz w:val="20"/>
        </w:rPr>
        <w:t xml:space="preserve"/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공공 콘솔 실측 5건, 발주처의 시스템 등급 확인, KISA 해설서·고시 최신판 재확보(갭 분석의 선행 조건).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배포 실행 자동화와 시크릿 주입 도구 도입, 사내 개발·운영 환경 대상 정보.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프로토타입 분석 결과와 결합 방식 결정.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위험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‘MSA 기반’ WBS 문구와 현재 구조(모듈러 모놀리식)의 차이 — 분해 여부와 근거를 ADR-2026-08-26.01 로 확정해 해석 분쟁을 막았다.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ETL 형식 미확정과 타 세세부(세세부1 ㈜소다시스템·세세부2 ㈜이노팸) 의존 — 범용 수신 골격과 어댑터 방식으로 설계하고 실데이터 적재는 회신 뒤로 보류했다.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운영 타깃이 인증 범위 밖이면 CSAP 신청이 성립하지 않는다 — NCP 공공기관용으로 결정하고 공공 콘솔 실측 5건을 확인한다.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1인 운영과 CSAP 운영 통제의 충돌 — 조직 차원의 결정이 필요하다(보안 운영체계 구성, WBS ID 34).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갭 보완이 기존 동작을 깨뜨릴 위험 — </w:t>
      </w:r>
      <w:r>
        <w:rPr>
          <w:rFonts w:ascii="Consolas" w:hAnsi="Consolas" w:eastAsia="맑은 고딕"/>
          <w:sz w:val="18"/>
        </w:rPr>
        <w:t xml:space="preserve">api-core</w:t>
      </w:r>
      <w:r>
        <w:rPr>
          <w:rFonts w:ascii="맑은 고딕" w:hAnsi="맑은 고딕" w:eastAsia="맑은 고딕"/>
          <w:sz w:val="20"/>
        </w:rPr>
        <w:t xml:space="preserve"> 변경은 두 제품에 영향을 주므로 전체 회귀를 완료 조건에 둔다.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프로토타입 결합 범위·담당 — 분석 뒤 ADR 로 결정한다.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근거: 마일스톤 문서, WBS 스냅샷(세세부3, 2026-10-12), 주간보고 10월 2주.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</dc:title>
  <dc:subject/>
  <dc:creator>개발팀</dc:creator>
  <cp:keywords/>
  <dc:description/>
  <cp:lastModifiedBy>개발팀</cp:lastModifiedBy>
  <cp:revision>1</cp:revision>
  <dcterms:created xsi:type="dcterms:W3CDTF">2026-10-16T07:00:00Z</dcterms:created>
  <dcterms:modified xsi:type="dcterms:W3CDTF">2026-10-16T07:00:00Z</dcterms:modified>
  <cp:category/>
</cp:coreProperties>
</file>