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인증 범위 정의서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JSA-CM-CT-001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인증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2026. 10. 16.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개발팀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 xml:space="preserve">확인 필요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2026-10-16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개발팀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 xml:space="preserve">확인 필요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인증 개요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인증 유형</w:t>
      </w:r>
      <w:r>
        <w:rPr>
          <w:rFonts w:ascii="맑은 고딕" w:hAnsi="맑은 고딕" w:eastAsia="맑은 고딕"/>
          <w:sz w:val="20"/>
        </w:rPr>
        <w:t xml:space="preserve">: 클라우드컴퓨팅서비스 보안인증(CSAP) — SaaS </w:t>
      </w:r>
      <w:r>
        <w:rPr>
          <w:rFonts w:ascii="맑은 고딕" w:hAnsi="맑은 고딕" w:eastAsia="맑은 고딕"/>
          <w:b/>
          <w:sz w:val="20"/>
        </w:rPr>
        <w:t xml:space="preserve">하등급</w:t>
      </w:r>
      <w:r>
        <w:rPr>
          <w:rFonts w:ascii="맑은 고딕" w:hAnsi="맑은 고딕" w:eastAsia="맑은 고딕"/>
          <w:sz w:val="20"/>
        </w:rPr>
        <w:t xml:space="preserve">(조건부). 근거 고시는 「클라우드컴퓨팅서비스 보안인증에 관한 고시」이며, 저장소 정리본이 확인한 등록판은 과학기술정보통신부고시 제2023-4호(2023-01-31 발령·시행)다. 이후 개정(등급제 평가기준)의 확정 고시 번호·시행일은 확인하지 못했다. </w:t>
      </w:r>
      <w:r>
        <w:rPr>
          <w:rFonts w:ascii="맑은 고딕" w:hAnsi="맑은 고딕" w:eastAsia="맑은 고딕"/>
          <w:sz w:val="20"/>
          <w:highlight w:val="yellow"/>
        </w:rPr>
        <w:t xml:space="preserve">확인 필요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신청 목적</w:t>
      </w:r>
      <w:r>
        <w:rPr>
          <w:rFonts w:ascii="맑은 고딕" w:hAnsi="맑은 고딕" w:eastAsia="맑은 고딕"/>
          <w:sz w:val="20"/>
        </w:rPr>
        <w:t xml:space="preserve">: 「2026년 AI기반 위성정보 활용 서비스 확산사업」 세세부3의 통합플랫폼(지반침하 스마트 관리 시스템)을 공공기관에 SaaS 로 제공하기 위해 CSAP 인증을 신청한다(WBS ID 32~35). 과업명은 "인증 신청"이며 인증 취득·심사 대응이 아니다.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결정 근거</w:t>
      </w:r>
      <w:r>
        <w:rPr>
          <w:rFonts w:ascii="맑은 고딕" w:hAnsi="맑은 고딕" w:eastAsia="맑은 고딕"/>
          <w:sz w:val="20"/>
        </w:rPr>
        <w:t xml:space="preserve">: ADR-2026-09-26.02(2026-10-14 승인, D1~D7). 승인 조건과 확인 필요 사항은 다음과 같다.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조건 ① — 발주처(이용기관)가 이 시스템을 하등급으로 분류하는지 확인한다. 하등급은 개인정보를 포함하지 않고 공개된 공공데이터를 운영하는 시스템이다. </w:t>
      </w:r>
      <w:r>
        <w:rPr>
          <w:rFonts w:ascii="맑은 고딕" w:hAnsi="맑은 고딕" w:eastAsia="맑은 고딕"/>
          <w:sz w:val="20"/>
          <w:highlight w:val="yellow"/>
        </w:rPr>
        <w:t xml:space="preserve">발주처 확인 필요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조건 ② — 로그인 식별자 </w:t>
      </w:r>
      <w:r>
        <w:rPr>
          <w:rFonts w:ascii="Consolas" w:hAnsi="Consolas" w:eastAsia="맑은 고딕"/>
          <w:sz w:val="18"/>
        </w:rPr>
        <w:t xml:space="preserve">username</w:t>
      </w:r>
      <w:r>
        <w:rPr>
          <w:rFonts w:ascii="맑은 고딕" w:hAnsi="맑은 고딕" w:eastAsia="맑은 고딕"/>
          <w:sz w:val="20"/>
        </w:rPr>
        <w:t xml:space="preserve"> 에 실명·이메일 등 식별 가능한 값을 쓰지 않는 운영 정책을 둘 수 있는지 확인한다. ①·② 중 하나라도 아니면 중등급으로 전환하며 통제항목·양식을 다시 만든다.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수신 산출물(지반침하 위험지도·지표변위)이 공개 공공데이터인지 비공개 업무자료인지 정해져 있지 않다. </w:t>
      </w:r>
      <w:r>
        <w:rPr>
          <w:rFonts w:ascii="맑은 고딕" w:hAnsi="맑은 고딕" w:eastAsia="맑은 고딕"/>
          <w:sz w:val="20"/>
          <w:highlight w:val="yellow"/>
        </w:rPr>
        <w:t xml:space="preserve">발주처 확인 필요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기준 문서(해설서·고시)의 판과 시행일을 고정한다 — KISA 최신판을 다시 확보해 판·시행일을 기록하고 저장소 정리본과 대조한다(D7).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인증 대상 범위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대상 서비스</w:t>
      </w:r>
      <w:r>
        <w:rPr>
          <w:rFonts w:ascii="맑은 고딕" w:hAnsi="맑은 고딕" w:eastAsia="맑은 고딕"/>
          <w:sz w:val="20"/>
        </w:rPr>
        <w:t xml:space="preserve">: 통합플랫폼 중 customer 제품(web·api·database)과 admin 제품(web·api·database). admin 은 customer 서비스를 운영·관리하는 경로이므로 관리자 접근통제와 접근기록을 같은 증적 체계로 제시하기 위해 대상에 포함한다(D2).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시스템 구성</w:t>
      </w:r>
      <w:r>
        <w:rPr>
          <w:rFonts w:ascii="맑은 고딕" w:hAnsi="맑은 고딕" w:eastAsia="맑은 고딕"/>
          <w:sz w:val="20"/>
        </w:rPr>
        <w:t xml:space="preserve">: Ingress(단일 진입점), web 2종, api 2종(공유 라이브러리 </w:t>
      </w:r>
      <w:r>
        <w:rPr>
          <w:rFonts w:ascii="Consolas" w:hAnsi="Consolas" w:eastAsia="맑은 고딕"/>
          <w:sz w:val="18"/>
        </w:rPr>
        <w:t xml:space="preserve">api-core</w:t>
      </w:r>
      <w:r>
        <w:rPr>
          <w:rFonts w:ascii="맑은 고딕" w:hAnsi="맑은 고딕" w:eastAsia="맑은 고딕"/>
          <w:sz w:val="20"/>
        </w:rPr>
        <w:t xml:space="preserve"> 포함), 데이터베이스 2개(</w:t>
      </w:r>
      <w:r>
        <w:rPr>
          <w:rFonts w:ascii="Consolas" w:hAnsi="Consolas" w:eastAsia="맑은 고딕"/>
          <w:sz w:val="18"/>
        </w:rPr>
        <w:t xml:space="preserve">gis_customer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 w:eastAsia="맑은 고딕"/>
          <w:sz w:val="18"/>
        </w:rPr>
        <w:t xml:space="preserve">gis_admin</w:t>
      </w:r>
      <w:r>
        <w:rPr>
          <w:rFonts w:ascii="맑은 고딕" w:hAnsi="맑은 고딕" w:eastAsia="맑은 고딕"/>
          <w:sz w:val="20"/>
        </w:rPr>
        <w:t xml:space="preserve">), 마이그레이션 Job, 분리 후보 단위(tile-proxy, ingest-api, ingest-job-runner — 현재 비활성). 배포 단위는 Helm chart(</w:t>
      </w:r>
      <w:r>
        <w:rPr>
          <w:rFonts w:ascii="Consolas" w:hAnsi="Consolas" w:eastAsia="맑은 고딕"/>
          <w:sz w:val="18"/>
        </w:rPr>
        <w:t xml:space="preserve">deploy/charts/gis</w:t>
      </w:r>
      <w:r>
        <w:rPr>
          <w:rFonts w:ascii="맑은 고딕" w:hAnsi="맑은 고딕" w:eastAsia="맑은 고딕"/>
          <w:sz w:val="20"/>
        </w:rPr>
        <w:t xml:space="preserve">)이며 같은 이미지를 환경 사이에서 승격한다.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경계</w:t>
      </w:r>
      <w:r>
        <w:rPr>
          <w:rFonts w:ascii="맑은 고딕" w:hAnsi="맑은 고딕" w:eastAsia="맑은 고딕"/>
          <w:sz w:val="20"/>
        </w:rPr>
        <w:t xml:space="preserve">: 세세부1·2 산출물 수신 경로(</w:t>
      </w:r>
      <w:r>
        <w:rPr>
          <w:rFonts w:ascii="Consolas" w:hAnsi="Consolas" w:eastAsia="맑은 고딕"/>
          <w:sz w:val="18"/>
        </w:rPr>
        <w:t xml:space="preserve">/api/ingest/artifacts</w:t>
      </w:r>
      <w:r>
        <w:rPr>
          <w:rFonts w:ascii="맑은 고딕" w:hAnsi="맑은 고딕" w:eastAsia="맑은 고딕"/>
          <w:sz w:val="20"/>
        </w:rPr>
        <w:t xml:space="preserve">)는 인증 경계 안이고, 산출물을 보내는 송신 측 시스템은 경계 밖의 외부 연계다. 외부 연계 인터페이스에 대한 통제(인증·전송 암호화·접근기록)를 제시한다(D3).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 xml:space="preserve">통제항목 범위</w:t>
      </w:r>
      <w:r>
        <w:rPr>
          <w:rFonts w:ascii="맑은 고딕" w:hAnsi="맑은 고딕" w:eastAsia="맑은 고딕"/>
          <w:sz w:val="20"/>
        </w:rPr>
        <w:t xml:space="preserve">: 하등급 SaaS 해설서 30개 통제항목(관리적 8·기술적 11·공공기관 11)과 양식 188건 — 저장소 정리본 기준이며 판 고정 전이다.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운영 환경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300"/>
        <w:gridCol w:w="4746"/>
      </w:tblGrid>
      <w:tr>
        <w:trPr>
          <w:tblHeader/>
        </w:trPr>
        <w:tc>
          <w:tcPr>
            <w:tcW w:type="dxa" w:w="17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구분</w:t>
            </w:r>
          </w:p>
        </w:tc>
        <w:tc>
          <w:tcPr>
            <w:tcW w:type="dxa" w:w="33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  <w:tc>
          <w:tcPr>
            <w:tcW w:type="dxa" w:w="47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비고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클라우드(운영 타깃)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NCP 공공기관용(gov-ncloud) — Kubernetes Service(NKS) + Cloud DB for PostgreSQL</w:t>
            </w:r>
          </w:p>
        </w:tc>
        <w:tc>
          <w:tcPr>
            <w:tcW w:type="dxa" w:w="47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가입 완료(사용자 확인, 저장소 증거 없음). 승인 조건인 공공 콘솔 실측 5건: ① NKS 생성·Multi Zone 유형 제공 여부 ② Cloud DB 의 PostGIS 설치 가능 여부(안 되면 재검토) ③ Ingress 방식(ALB 컨트롤러·클래스) ④ 외부 레지스트리 pull 가능 여부와 공공 레지스트리 제공 여부 ⑤ 2025 기준 변경 마이그레이션 공지의 영향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네트워크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인터넷망 SaaS. 영역분리(논리적)로 대응하며(14.2.1·14.3.5·11.1.5 는 JSA-CM-CT-002 사전 판정이 '부분'이고 공공 콘솔 실측·환경 구축 뒤 확정) 망분리(내부망 납품)는 대상이 아니다</w:t>
            </w:r>
          </w:p>
        </w:tc>
        <w:tc>
          <w:tcPr>
            <w:tcW w:type="dxa" w:w="47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공공 고객용 운영 인스턴스를 민간 고객과 같은 클러스터·DB 에 섞지 않는 운영 원칙(통제항목 14.3.5)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이미지 레지스트리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현재 GHCR(해외 사업자) → 공공 영역 레지스트리로 전환(D5)</w:t>
            </w:r>
          </w:p>
        </w:tc>
        <w:tc>
          <w:tcPr>
            <w:tcW w:type="dxa" w:w="47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D4 실측 ④ 이후. CI 의 푸시 대상·자격 증명이 추가된다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운영 조직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 — 운영 인력은 사실상 1인을 전제</w:t>
            </w:r>
          </w:p>
        </w:tc>
        <w:tc>
          <w:tcPr>
            <w:tcW w:type="dxa" w:w="47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책임자 지정·직무 분리·정기 점검·사고 대응은 서비스 보안 운영체계 구성(WBS ID 34)에서 정의한다. 조직 차원의 결정이 필요하다. WBS 의 담당 조직 열은 ID 32~35 를 '운영(DevSecOps)'로 적었다(5절 주석)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개발·예행 환경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로컬 k3s, 사내 k8s 개발 클러스터(dev0)</w:t>
            </w:r>
          </w:p>
        </w:tc>
        <w:tc>
          <w:tcPr>
            <w:tcW w:type="dxa" w:w="47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인증 대상이 아니다. 인증받은 IaaS 위의 SaaS 만 인정되므로 절차·설정을 미리 만들어 보는 용도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제외 범위와 사유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인증 심사 대응과 취득</w:t>
      </w:r>
      <w:r>
        <w:rPr>
          <w:rFonts w:ascii="맑은 고딕" w:hAnsi="맑은 고딕" w:eastAsia="맑은 고딕"/>
          <w:sz w:val="20"/>
        </w:rPr>
        <w:t xml:space="preserve"> — 과업이 신청 자료 제출까지이며 심사 일정과 결과는 통제할 수 없다.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망분리 구성</w:t>
      </w:r>
      <w:r>
        <w:rPr>
          <w:rFonts w:ascii="맑은 고딕" w:hAnsi="맑은 고딕" w:eastAsia="맑은 고딕"/>
          <w:sz w:val="20"/>
        </w:rPr>
        <w:t xml:space="preserve"> — 공공기관 내부망 납품이 아니라 인터넷망 SaaS 인증이므로 대상이 아니다(2026-10-14 승인). 영역분리(14.2.1·14.3.5)와 네트워크 분리(11.1.5)로 갈음한다.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ISMS-P 인증</w:t>
      </w:r>
      <w:r>
        <w:rPr>
          <w:rFonts w:ascii="맑은 고딕" w:hAnsi="맑은 고딕" w:eastAsia="맑은 고딕"/>
          <w:sz w:val="20"/>
        </w:rPr>
        <w:t xml:space="preserve"> — 별개 제도다.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제3자 모의해킹·취약점 진단 용역</w:t>
      </w:r>
      <w:r>
        <w:rPr>
          <w:rFonts w:ascii="맑은 고딕" w:hAnsi="맑은 고딕" w:eastAsia="맑은 고딕"/>
          <w:sz w:val="20"/>
        </w:rPr>
        <w:t xml:space="preserve"> — 신청 요건에 포함되는지 KISA 에 문의해 확인한 뒤, 요건이면 일정·비용을 별도 안건으로 올린다(D6).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로컬 k3s·사내 k8s 개발 클러스터</w:t>
      </w:r>
      <w:r>
        <w:rPr>
          <w:rFonts w:ascii="맑은 고딕" w:hAnsi="맑은 고딕" w:eastAsia="맑은 고딕"/>
          <w:sz w:val="20"/>
        </w:rPr>
        <w:t xml:space="preserve"> — 인증 대상이 아닌 개발·예행 환경이다.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세세부1·2 산출물 송신 측 시스템</w:t>
      </w:r>
      <w:r>
        <w:rPr>
          <w:rFonts w:ascii="맑은 고딕" w:hAnsi="맑은 고딕" w:eastAsia="맑은 고딕"/>
          <w:sz w:val="20"/>
        </w:rPr>
        <w:t xml:space="preserve"> — 인증 경계 밖의 외부 연계다.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제주 지반침하 프로토타입</w:t>
      </w:r>
      <w:r>
        <w:rPr>
          <w:rFonts w:ascii="맑은 고딕" w:hAnsi="맑은 고딕" w:eastAsia="맑은 고딕"/>
          <w:sz w:val="20"/>
        </w:rPr>
        <w:t xml:space="preserve"> — 통합플랫폼에 결합되기 전의 참조 기준 자료라서 현재 범위에 포함하지 않는다. 결합 방식이 정해진 뒤 인증 범위에 미치는 영향은 </w:t>
      </w:r>
      <w:r>
        <w:rPr>
          <w:rFonts w:ascii="맑은 고딕" w:hAnsi="맑은 고딕" w:eastAsia="맑은 고딕"/>
          <w:sz w:val="20"/>
          <w:highlight w:val="yellow"/>
        </w:rPr>
        <w:t xml:space="preserve">확인 필요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일정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4300"/>
        <w:gridCol w:w="3300"/>
        <w:gridCol w:w="2146"/>
      </w:tblGrid>
      <w:tr>
        <w:trPr>
          <w:tblHeader/>
        </w:trPr>
        <w:tc>
          <w:tcPr>
            <w:tcW w:type="dxa" w:w="43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단계</w:t>
            </w:r>
          </w:p>
        </w:tc>
        <w:tc>
          <w:tcPr>
            <w:tcW w:type="dxa" w:w="33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일정</w:t>
            </w:r>
          </w:p>
        </w:tc>
        <w:tc>
          <w:tcPr>
            <w:tcW w:type="dxa" w:w="21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인증 유형·범위 확정, 배포 타깃 재확인(T077, ADR)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결정 2026-10-14 — 공공 콘솔 실측·발주처 확인·KISA 문의 잔여</w:t>
            </w:r>
          </w:p>
        </w:tc>
        <w:tc>
          <w:tcPr>
            <w:tcW w:type="dxa" w:w="2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통제항목 대비 갭 분석(T078)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KISA 최신판 재확보 뒤 착수</w:t>
            </w:r>
          </w:p>
        </w:tc>
        <w:tc>
          <w:tcPr>
            <w:tcW w:type="dxa" w:w="2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클라우드 보안 요구사항 반영(WBS ID 33)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2026-11-02 ~ 2026-11-27</w:t>
            </w:r>
          </w:p>
        </w:tc>
        <w:tc>
          <w:tcPr>
            <w:tcW w:type="dxa" w:w="2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개발팀※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서비스 보안 운영체계 구성(WBS ID 34)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2026-11-16 ~ 2026-12-18</w:t>
            </w:r>
          </w:p>
        </w:tc>
        <w:tc>
          <w:tcPr>
            <w:tcW w:type="dxa" w:w="2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개발팀※(조직 결정 필요)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CSAP 인증 대응 문서·신청 자료 작성(WBS ID 35)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2026-11-02 ~ 2026-12-31</w:t>
            </w:r>
          </w:p>
        </w:tc>
        <w:tc>
          <w:tcPr>
            <w:tcW w:type="dxa" w:w="2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개발팀※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CSAP 인증 신청(WBS ID 32)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2026-11-02 ~ 2026-12-31</w:t>
            </w:r>
          </w:p>
        </w:tc>
        <w:tc>
          <w:tcPr>
            <w:tcW w:type="dxa" w:w="2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개발팀※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심사</w:t>
            </w:r>
          </w:p>
        </w:tc>
        <w:tc>
          <w:tcPr>
            <w:tcW w:type="dxa" w:w="3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일정 미정(과업 범위 밖, 통제할 수 없음)</w:t>
            </w:r>
          </w:p>
        </w:tc>
        <w:tc>
          <w:tcPr>
            <w:tcW w:type="dxa" w:w="21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※ WBS(docs/WBS.xlsx 세세부3 시트)의 '담당 조직' 열은 ID 32~35 를 '운영(DevSecOps)'로 적었다. 이 표의 '개발팀'은 마일스톤 M010·M011 과 2026-09-21 중간보고('개발팀 담당 범위')를 따른 것이며, '운영(DevSecOps)'가 개발팀 안의 역할인지 별도 조직인지는 확인하지 못했다. </w:t>
      </w:r>
      <w:r>
        <w:rPr>
          <w:rFonts w:ascii="맑은 고딕" w:hAnsi="맑은 고딕" w:eastAsia="맑은 고딕"/>
          <w:sz w:val="20"/>
          <w:highlight w:val="yellow"/>
        </w:rPr>
        <w:t xml:space="preserve">확인 필요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사업 종료일이 2026-12-31 이어서 선행 마일스톤(M010, 2026-11-27 종료)이 밀리면 이 일정이 그대로 밀린다. 근거: 마일스톤 M011, ADR-2026-09-26.02.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인증 범위 정의서</dc:title>
  <dc:subject/>
  <dc:creator>개발팀</dc:creator>
  <cp:keywords/>
  <dc:description/>
  <cp:lastModifiedBy>개발팀</cp:lastModifiedBy>
  <cp:revision>1</cp:revision>
  <dcterms:created xsi:type="dcterms:W3CDTF">2026-10-16T07:00:00Z</dcterms:created>
  <dcterms:modified xsi:type="dcterms:W3CDTF">2026-10-16T07:00:00Z</dcterms:modified>
  <cp:category/>
</cp:coreProperties>
</file>