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400"/>
        <w:jc w:val="center"/>
      </w:pPr>
      <w:r>
        <w:rPr>
          <w:rFonts w:ascii="Malgun Gothic" w:cs="Malgun Gothic" w:eastAsia="Malgun Gothic" w:hAnsi="Malgun Gothic"/>
          <w:b/>
          <w:bCs/>
          <w:sz w:val="48"/>
          <w:szCs w:val="48"/>
        </w:rPr>
        <w:t xml:space="preserve">AI 발전에 관한 조사 보고서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55555"/>
          <w:sz w:val="26"/>
          <w:szCs w:val="26"/>
        </w:rPr>
        <w:t xml:space="preserve">역사, 최신 동향, 사회적 영향, 규제와 전망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작성일: 2026년 10월 4일</w:t>
      </w:r>
    </w:p>
    <w:p>
      <w:r>
        <w:br w:type="page"/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Ⅰ. 서론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연구 배경</w:t>
      </w:r>
    </w:p>
    <w:p>
      <w:pPr>
        <w:spacing w:after="1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인공지능(AI)은 70여 년의 연구 역사를 거쳐 최근 몇 년 사이 산업과 일상 전반에 빠르게 확산되었다. 특히 대규모 언어 모델과 생성형 AI의 등장으로 AI는 연구실의 기술에서 일반 대중이 매일 사용하는 도구로 바뀌었다.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연구 목적과 범위</w:t>
      </w:r>
    </w:p>
    <w:p>
      <w:pPr>
        <w:spacing w:after="1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보고서는 AI 발전의 흐름을 정리하고 현재의 기술 동향, 산업·사회적 영향, 리스크와 규제 환경을 살펴 향후 전망을 제시하는 것을 목적으로 한다. 조사는 공개된 웹 자료를 바탕으로 2026년 10월에 수행했다.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Ⅱ. 본론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1. AI 발전의 역사</w:t>
      </w:r>
    </w:p>
    <w:p>
      <w:pPr>
        <w:spacing w:after="1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AI의 역사는 튜링의 이론적 기초에서 출발해 딥러닝과 트랜스포머를 거쳐 오늘에 이른다. 주요 사건은 다음과 같다.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연도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21"/>
                <w:szCs w:val="21"/>
              </w:rPr>
              <w:t xml:space="preserve">주요 사건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1936·1950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튜링의 계산 기계 개념 제안, 「Computing Machinery and Intelligence」 발표(튜링 테스트)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1956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다트머스 회의에서 '인공지능'이라는 용어 제안, 학문 분야로 출범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2012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AlexNet이 ImageNet 대회에서 압도적 우승, 딥러닝 붐 시작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2017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구글 「Attention Is All You Need」, 트랜스포머 등장</w:t>
            </w:r>
          </w:p>
        </w:tc>
      </w:tr>
    </w:tbl>
    <w:p>
      <w:pPr>
        <w:spacing w:after="60"/>
      </w:pPr>
      <w:r>
        <w:rPr>
          <w:rFonts w:ascii="Malgun Gothic" w:cs="Malgun Gothic" w:eastAsia="Malgun Gothic" w:hAnsi="Malgun Gothic"/>
          <w:sz w:val="22"/>
          <w:szCs w:val="22"/>
        </w:rPr>
        <w:t xml:space="preserve"/>
      </w:r>
    </w:p>
    <w:p>
      <w:pPr>
        <w:spacing w:after="1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2012년 이후 딥러닝은 이미지 인식, 음성 인식, 자연어 처리, 게임 분야에서 최고 성능을 달성했고, 2017년 트랜스포머는 현대 대규모 언어 모델의 토대가 되었다.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 최신 기술 동향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성능의 가속: 스탠퍼드 AI Index 2026에 따르면 2025년 주요 프론티어 모델의 90% 이상을 산업계가 만들었다. 일부 모델은 박사급 과학 문제, 멀티모달 추론, 경시대회 수학에서 인간 기준선에 도달하거나 넘어섰고, SWE-bench Verified 성능은 1년 만에 약 60%에서 100%에 근접했다.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에이전틱 AI: AI가 다단계 업무를 자율적으로 수행하며, 하나의 슈퍼 에이전트보다 전문화된 멀티 에이전트 팀이 주목받고 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멀티모달과 추론 모델: 텍스트, 이미지, 오디오, 비디오를 함께 처리하는 모델이 주요 클라우드 API에 내장되었고, DeepSeek-R1처럼 추론 시점에 오래 사고하는 방식이 복잡한 문제의 정확도를 높인다.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음성과 엣지: 지연이 1초 미만인 실시간 음성 모델이 확산되고 에이전트가 로컬 기기로 이동하고 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국가 경쟁: 최상위 모델의 미국-중국 성능 격차는 거의 사라졌다(2026년 3월 기준 2.7%).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 산업·사회적 영향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확산 속도: 생성형 AI의 인구 대비 이용률은 53%로, 개인용 컴퓨터와 인터넷보다 빠르게 퍼졌다.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투자와 가치: 2025년 미국 민간 AI 투자는 2,859억 달러였고, 미국 소비자 잉여는 1,720억 달러(전년 대비 54% 증가)로 추정된다.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생산성: 고객 지원 14~15%, 소프트웨어 개발 26%, 마케팅 최대 50%의 향상이 보고되었다.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경제적 잠재력: 맥킨지는 생성형 AI가 연간 2.6~4.4조 달러를 추가할 수 있다고 추정하며, 영업·마케팅, 소프트웨어 엔지니어링, 고객 운영, 제품 R&amp;D가 이익의 약 75%를 차지한다고 본다.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노동시장: 전체 통계에는 대규모 일자리 감소가 아직 나타나지 않았으나, 설문 조직의 3분의 1은 내년 인력 감축을 예상하며 서비스 운영, 공급망, 소프트웨어 엔지니어링에서 두드러진다.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 리스크와 규제</w:t>
      </w:r>
    </w:p>
    <w:p>
      <w:pPr>
        <w:spacing w:after="1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AI의 확산과 함께 신뢰성(환각), 편향, 노동 대체, 자본과 연산 자원의 집중, 투명성 같은 쟁점이 부각되고 있다. 이에 각국은 규제를 본격 시행하는 단계에 들어섰다.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EU AI Act: 남은 의무 대부분이 2026년 8월 2일부터 적용되며, Annex III 고위험 시스템과 제50조 투명성 규정이 포함된다. 제6조 1항 관련 의무는 2027년 8월 2일부터 적용된다.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한국 AI 기본법: 2026년 1월 22일 시행되었다. 고영향 AI와 생성형 AI에 위험 평가와 국내 대리인 지정을 요구하며, 1년의 유예 기간 동안은 처벌보다 지도에 중점을 둔다.</w:t>
      </w:r>
    </w:p>
    <w:p>
      <w:pPr>
        <w:pStyle w:val="Heading1"/>
        <w:spacing w:after="160" w:before="30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Ⅲ. 결론</w:t>
      </w:r>
    </w:p>
    <w:p>
      <w:pPr>
        <w:spacing w:after="1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AI는 성능, 도입 속도, 투자 규모 모든 면에서 가속하고 있으며, 경쟁의 초점은 에이전트, 추론, 효율적 배포로 옮겨 가고 있다. 생산성 향상은 뚜렷하지만 노동시장에 미칠 영향은 아직 불확실하다.</w:t>
      </w:r>
    </w:p>
    <w:p>
      <w:pPr>
        <w:spacing w:after="14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규제는 준비 단계에서 집행 단계로 넘어가고 있다. 따라서 기업과 정부는 AI 활용의 이익을 극대화하면서 신뢰성과 투명성을 확보하고, 노동자 재교육과 이익의 공정한 분배를 위한 정책을 함께 마련해야 한다.</w:t>
      </w:r>
    </w:p>
    <w:p>
      <w:pPr>
        <w:pStyle w:val="Heading2"/>
        <w:spacing w:after="120" w:before="20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참고 자료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LiveScience, 12 game-changing moments in the history of AI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UNU C3, What the 2026 Stanford AI Index Report Tells Us About the State of AI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Nexchron, Stanford AI Index 2026: 12 Key Findings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Hugging Face Blog, AI Trends 2026: Test-Time Reasoning and the Rise of Reflective Agents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European Commission AI Act Service Desk, Timeline for the implementation of the EU AI Act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Cooley, South Korea's AI Basic Act: Overview and Key Takeaways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Malgun Gothic" w:cs="Malgun Gothic" w:eastAsia="Malgun Gothic" w:hAnsi="Malgun Gothic"/>
          <w:sz w:val="22"/>
          <w:szCs w:val="22"/>
        </w:rPr>
        <w:t xml:space="preserve">McKinsey, The economic potential of generative AI: The next productivity frontier</w:t>
      </w:r>
    </w:p>
    <w:sectPr>
      <w:pgSz w:w="11906" w:h="16838" w:orient="portrait"/>
      <w:pgMar w:top="1440" w:right="1273" w:bottom="1440" w:left="127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2026-10-04T07:27:20.785Z</dcterms:created>
  <dcterms:modified xsi:type="dcterms:W3CDTF">2026-10-04T07:27:20.786Z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