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C9A"/>
          <w:spacing w:val="40"/>
          <w:sz w:val="19"/>
          <w:szCs w:val="19"/>
        </w:rPr>
        <w:t xml:space="preserve">PROPUESTA DE PROYECTO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Automatización de Resoluciones de Averías</w:t>
      </w:r>
    </w:p>
    <w:p>
      <w:pPr>
        <w:pBdr>
          <w:bottom w:val="single" w:color="1F3864" w:sz="12" w:space="8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Asistente de Pre-Dictamen Técnico basado en datos históricos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Presenta</w:t>
            </w:r>
          </w:p>
        </w:tc>
        <w:tc>
          <w:tcPr>
            <w:tcW w:type="dxa" w:w="7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David Simancas Estrada — Controller / Analista Técnico Regional de Averías LATAM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Dirigido a</w:t>
            </w:r>
          </w:p>
        </w:tc>
        <w:tc>
          <w:tcPr>
            <w:tcW w:type="dxa" w:w="7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Héctor Izquierdo — Dirección General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Alcance</w:t>
            </w:r>
          </w:p>
        </w:tc>
        <w:tc>
          <w:tcPr>
            <w:tcW w:type="dxa" w:w="7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México, Colombia, Chile y Argentina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7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31 de agosto de 2026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Estatus</w:t>
            </w:r>
          </w:p>
        </w:tc>
        <w:tc>
          <w:tcPr>
            <w:tcW w:type="dxa" w:w="7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Propuesta para aprobación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Resumen ejecutivo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Hoy la operación de averías está automatizada únicamente hasta la creación del siniestro. A partir de ese punto, cada caso requiere análisis técnico manual, sin importar si se trata de un rechazo evidente por cobertura o de un dictamen complejo de motor. Esto concentra el tiempo del equipo técnico en volumen repetitivo y limita nuestra capacidad de crecer sin crecer la nómina.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 propone desarrollar un Asistente de Pre-Dictamen: un motor que analiza automáticamente cada avería contra el histórico regional, resuelve por reglas lo que es determinístico, y para todo lo demás entrega al técnico un caso pre-analizado con propuesta de resolución redactada. El técnico conserva íntegramente la facultad de decisión y firma.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Principio rector: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sistema no sustituye el criterio técnico, elimina el trabajo previo al criterio técnico.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Situación actual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 automatización termina en la creación de la avería; la resolución es 100% manual.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 dedica el mismo esfuerzo analítico a un rechazo obvio por componente no cubierto que a un dictamen de motor de alto monto.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Los criterios de resolución dependen del gestor, lo que genera dispersión entre países y entre analistas.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Existe un volumen muy alto de data histórica infrautilizada: marca, modelo, año, kilometraje, componente, distribuidor, taller, región, resolución y monto.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 detección de desviaciones por distribuidor o taller ocurre de forma reactiva, generalmente al cierre mensual.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Reducir el tiempo de resolución por avería y homologar criterios técnicos en LATAM mediante un motor de pre-dictamen alimentado por el histórico de siniestros, manteniendo la decisión final bajo control humano y liberando capacidad del equipo técnico para los casos de alto valor.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Resolver automáticamente los casos determinísticos (vigencia, kilometraje, componente fuera de cobertura).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Entregar propuesta de resolución redactada y sustentada en el histórico para los casos que requieren criterio.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Homologar el criterio técnico entre México, Colombia, Chile y Argentina.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Detectar desviaciones de comportamiento por taller y distribuidor de manera preventiva.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Construir trazabilidad completa: toda resolución queda documentada con su sustento.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Arquitectura del modelo — cuatro capas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motor procesa cada avería en secuencia. Cada capa filtra casos y solo escala hacia la siguiente lo que no pudo resolver.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Capa 1 — Validación administrativa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Verificación determinística de las condiciones formales del contrato: vigencia del certificado, kilometraje contra el límite de cobertura, taller registrado y autorizado, situación de pagos. Son condiciones binarias que no admiten interpretación técnica. Resuelve sin intervención humana.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Capa 2 — Componente contra cobertura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Aplica a certificados nominados, donde la cobertura enumera componentes específicos. Si el componente reportado no aparece en el certificado, el rechazo es automático con fundamento citado. Esta capa es de implementación inmediata y bajo riesgo: hoy no existe y representa la primera ganancia visible del proyecto.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Capa 3 — Semáforo de confianza (coberturas amplias)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Para coberturas amplias, donde se cubre todo excepto desgaste, uso, duración y exclusiones específicas, el dictamen no puede automatizarse por completo porque distinguir desgaste de falla súbita exige criterio y evidencia física. Lo que sí se automatiza es la clasificación de riesgo y la preparación del caso.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motor cruza dos ejes: confianza estadística (qué tan consistente ha sido el histórico para esa combinación exacta de marca, modelo, año, rango de kilometraje y componente) y exposición económica (monto en juego).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530"/>
        <w:gridCol w:w="213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  <w:tc>
          <w:tcPr>
            <w:tcW w:type="dxa" w:w="3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53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del sistema</w:t>
            </w:r>
          </w:p>
        </w:tc>
        <w:tc>
          <w:tcPr>
            <w:tcW w:type="dxa" w:w="213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45"/>
                <w:sz w:val="20"/>
                <w:szCs w:val="20"/>
              </w:rPr>
              <w:t xml:space="preserve">VERDE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≥90% de aprobación histórica, mínimo 30 casos comparables y monto bajo</w:t>
            </w:r>
          </w:p>
        </w:tc>
        <w:tc>
          <w:tcPr>
            <w:tcW w:type="dxa" w:w="25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Genera resolución completa</w:t>
            </w:r>
          </w:p>
        </w:tc>
        <w:tc>
          <w:tcPr>
            <w:tcW w:type="dxa" w:w="21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Automática</w:t>
            </w:r>
          </w:p>
        </w:tc>
      </w:tr>
      <w:tr>
        <w:tc>
          <w:tcPr>
            <w:tcW w:type="dxa" w:w="13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ÁMBAR</w:t>
            </w:r>
          </w:p>
        </w:tc>
        <w:tc>
          <w:tcPr>
            <w:tcW w:type="dxa" w:w="34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Confianza media o insuficientes casos comparables</w:t>
            </w:r>
          </w:p>
        </w:tc>
        <w:tc>
          <w:tcPr>
            <w:tcW w:type="dxa" w:w="253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Entrega caso pre-analizado con casos similares y propuesta</w:t>
            </w:r>
          </w:p>
        </w:tc>
        <w:tc>
          <w:tcPr>
            <w:tcW w:type="dxa" w:w="213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Técnico valida y firma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0"/>
                <w:szCs w:val="20"/>
              </w:rPr>
              <w:t xml:space="preserve">ROJO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Monto alto, componente sensible (motor, transmisión) o patrón anómalo</w:t>
            </w:r>
          </w:p>
        </w:tc>
        <w:tc>
          <w:tcPr>
            <w:tcW w:type="dxa" w:w="25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Escala con expediente completo y alertas</w:t>
            </w:r>
          </w:p>
        </w:tc>
        <w:tc>
          <w:tcPr>
            <w:tcW w:type="dxa" w:w="21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Revisión técnica y regional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Nota técnica: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los umbrales de 90%, 30 casos y los cortes de monto son valores de arranque. Se calibran contra el histórico real durante el piloto y se ajustan por país y por cuenta.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Capa 4 — Excepciones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Todo caso de monto alto, siniestro con antecedentes, patrón atípico o sensibilidad comercial se excluye de cualquier automatización y se enruta a revisión humana, incluyendo escalamiento a la Dirección Regional cuando corresponda.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Detección de anomalías — control de red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Componente de alto valor que no depende de automatizar dictámenes, solo de comparar comportamientos, por lo que puede implementarse con la data actual sin dependencias adicionales.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motor compara continuamente cada taller y cada distribuidor contra el promedio de sus pares por región, marca y tipo de componente. Cuando un actor se desvía significativamente del comportamiento esperado, se emite alerta.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Frecuencia atípica por componente: </w:t>
      </w: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un taller que reporta el triple de transmisiones que sus pares.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Monto promedio desviado: </w:t>
      </w: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costos por avería consistentemente por encima de la media regional.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Concentración temporal: </w:t>
      </w: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picos de siniestros próximos al vencimiento de la cobertura.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Reincidencia por VIN: </w:t>
      </w: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unidades con siniestros repetidos sobre el mismo sistema.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Valor directo: la desviación se detecta durante el mes y no en el cierre, lo que permite intervenir al distribuidor antes de que impacte la siniestralidad del periodo.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Alternativas de arranque evaluadas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 evaluaron tres rutas de implementación. Se recomienda la Alternativa A como punto de partida, con incorporación progresiva de B y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0"/>
        <w:gridCol w:w="2270"/>
        <w:gridCol w:w="3080"/>
        <w:gridCol w:w="2880"/>
      </w:tblGrid>
      <w:tr>
        <w:trPr>
          <w:tblHeader/>
        </w:trPr>
        <w:tc>
          <w:tcPr>
            <w:tcW w:type="dxa" w:w="113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27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308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288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Consideración</w:t>
            </w:r>
          </w:p>
        </w:tc>
      </w:tr>
      <w:tr>
        <w:tc>
          <w:tcPr>
            <w:tcW w:type="dxa" w:w="11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45"/>
                <w:sz w:val="20"/>
                <w:szCs w:val="20"/>
              </w:rPr>
              <w:t xml:space="preserve">A ✓</w:t>
            </w:r>
          </w:p>
        </w:tc>
        <w:tc>
          <w:tcPr>
            <w:tcW w:type="dxa" w:w="22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Asistencia, no decisión</w:t>
            </w:r>
          </w:p>
        </w:tc>
        <w:tc>
          <w:tcPr>
            <w:tcW w:type="dxa" w:w="3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El sistema sugiere y redacta; la persona firma. Nula pérdida de autoridad técnica y máxima aceptación interna.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El ahorro de tiempo es alto pero no total; se conserva un paso humano por caso.</w:t>
            </w:r>
          </w:p>
        </w:tc>
      </w:tr>
      <w:tr>
        <w:tc>
          <w:tcPr>
            <w:tcW w:type="dxa" w:w="113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</w:t>
            </w:r>
          </w:p>
        </w:tc>
        <w:tc>
          <w:tcPr>
            <w:tcW w:type="dxa" w:w="227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Arranque por cuenta</w:t>
            </w:r>
          </w:p>
        </w:tc>
        <w:tc>
          <w:tcPr>
            <w:tcW w:type="dxa" w:w="308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Iniciar con una sola cuenta (Mitsubishi o BMW) donde la data es más limpia y el resultado es demostrable antes de escalar.</w:t>
            </w:r>
          </w:p>
        </w:tc>
        <w:tc>
          <w:tcPr>
            <w:tcW w:type="dxa" w:w="288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Compatible con A: define el alcance del piloto más que el modelo.</w:t>
            </w:r>
          </w:p>
        </w:tc>
      </w:tr>
      <w:tr>
        <w:tc>
          <w:tcPr>
            <w:tcW w:type="dxa" w:w="11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</w:t>
            </w:r>
          </w:p>
        </w:tc>
        <w:tc>
          <w:tcPr>
            <w:tcW w:type="dxa" w:w="22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Automatización por monto</w:t>
            </w:r>
          </w:p>
        </w:tc>
        <w:tc>
          <w:tcPr>
            <w:tcW w:type="dxa" w:w="3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Todo caso por debajo de un umbral se resuelve solo, sin importar marca. El costo de analizarlo supera el riesgo de error.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Requiere histórico calibrado; se recomienda activarla en fase 2, ya con el motor validado.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Recomendación: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Alternativa A como modelo operativo, ejecutada bajo el alcance de la Alternativa B para el piloto, y habilitando la Alternativa C una vez calibrados los umbrales.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Caso de negocio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El sustento económico no está en reducir plantilla, sino en absorber mayor volumen sin incrementarla, manteniendo el control de calidad técnica.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Proyectado</w:t>
            </w:r>
          </w:p>
        </w:tc>
        <w:tc>
          <w:tcPr>
            <w:tcW w:type="dxa" w:w="19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Tiempo promedio de dictamen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≈5 min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Reducción estimada 80%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Averías atendidas por técnico / mes</w:t>
            </w:r>
          </w:p>
        </w:tc>
        <w:tc>
          <w:tcPr>
            <w:tcW w:type="dxa" w:w="19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19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[a calcular]</w:t>
            </w:r>
          </w:p>
        </w:tc>
        <w:tc>
          <w:tcPr>
            <w:tcW w:type="dxa" w:w="19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Mayor capacidad instalada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Casos resueltos sin intervención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0%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Por calibrar en piloto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Capas 1 y 2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Dispersión de criterio entre países</w:t>
            </w:r>
          </w:p>
        </w:tc>
        <w:tc>
          <w:tcPr>
            <w:tcW w:type="dxa" w:w="19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19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Homologada</w:t>
            </w:r>
          </w:p>
        </w:tc>
        <w:tc>
          <w:tcPr>
            <w:tcW w:type="dxa" w:w="19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Control regional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Detección de desviaciones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 cierre mensual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Continua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Acción preventiva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9B1C1C"/>
          <w:sz w:val="21"/>
          <w:szCs w:val="21"/>
        </w:rPr>
        <w:t xml:space="preserve">Pendiente para cierre de cifras: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volumen mensual real de averías por país y tiempo promedio actual de dictamen. Con esos dos datos las proyecciones dejan de ser estimadas y se vuelven cifras defendibles ante Dirección General.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C9A"/>
          <w:sz w:val="23"/>
          <w:szCs w:val="23"/>
        </w:rPr>
        <w:t xml:space="preserve">Beneficios no financieros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Trazabilidad total: cada resolución queda documentada con su sustento histórico, lo que fortalece la posición ante auditorías y ante reclamaciones de distribuidores.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Homologación regional efectiva del criterio técnico, hoy dependiente del gestor.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Curva de aprendizaje más corta para nuevos gestores en la operación LATAM.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Reducción del tiempo de respuesta al cliente final y al distribuidor.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Ruta de implementación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3610"/>
        <w:gridCol w:w="196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61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9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1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1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Diagnóstico de data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Depuración, validación de integridad histórica y definición de variables del modelo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5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2</w:t>
            </w:r>
          </w:p>
        </w:tc>
        <w:tc>
          <w:tcPr>
            <w:tcW w:type="dxa" w:w="25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Motor de reglas</w:t>
            </w:r>
          </w:p>
        </w:tc>
        <w:tc>
          <w:tcPr>
            <w:tcW w:type="dxa" w:w="361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Capas 1 y 2 en operación: validación administrativa y componente contra cobertura</w:t>
            </w:r>
          </w:p>
        </w:tc>
        <w:tc>
          <w:tcPr>
            <w:tcW w:type="dxa" w:w="19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3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Semáforo y pre-dictamen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Capa 3 con calibración de umbrales sobre histórico real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25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4</w:t>
            </w:r>
          </w:p>
        </w:tc>
        <w:tc>
          <w:tcPr>
            <w:tcW w:type="dxa" w:w="25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Piloto en una cuenta</w:t>
            </w:r>
          </w:p>
        </w:tc>
        <w:tc>
          <w:tcPr>
            <w:tcW w:type="dxa" w:w="361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Operación en paralelo con medición de precisión contra dictamen humano</w:t>
            </w:r>
          </w:p>
        </w:tc>
        <w:tc>
          <w:tcPr>
            <w:tcW w:type="dxa" w:w="19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1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5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Despliegue regional</w:t>
            </w:r>
          </w:p>
        </w:tc>
        <w:tc>
          <w:tcPr>
            <w:tcW w:type="dxa" w:w="36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Escalamiento por país e integración del módulo de anomalías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Por definir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Primera versión funcional: 6 a 8 semanas. Piloto validado: 12 semanas desde el arranque.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5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Calidad e inconsistencia de la data histórica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Fase 1 dedicada exclusivamente a depuración; el modelo no avanza sin data validada.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Resolución automática incorrecta</w:t>
            </w:r>
          </w:p>
        </w:tc>
        <w:tc>
          <w:tcPr>
            <w:tcW w:type="dxa" w:w="16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Modelo de asistencia: la firma es humana. Automatización plena solo en capas determinísticas.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Resistencia del equipo técnico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El sistema no retira autoridad; se posiciona como herramienta de apoyo y se involucra al equipo en la calibración.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Sesgo del histórico (replicar errores pasados)</w:t>
            </w:r>
          </w:p>
        </w:tc>
        <w:tc>
          <w:tcPr>
            <w:tcW w:type="dxa" w:w="16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Auditoría de casos verdes durante el piloto y revisión periódica de umbrales.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Diferencias legales entre países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Parametrización por país; el marco legal local se configura como regla independiente.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Aprobación de Dirección General sobre el enfoque de asistencia (Alternativa A).</w:t>
            </w:r>
          </w:p>
        </w:tc>
      </w:tr>
      <w:tr>
        <w:tc>
          <w:tcPr>
            <w:tcW w:type="dxa" w:w="7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Definición de la cuenta piloto: Mitsubishi o BMW, según limpieza de data.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Entrega de volumen mensual y tiempo promedio de dictamen para cerrar el caso de negocio con cifras reales.</w:t>
            </w:r>
          </w:p>
        </w:tc>
      </w:tr>
      <w:tr>
        <w:tc>
          <w:tcPr>
            <w:tcW w:type="dxa" w:w="70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shd w:fill="F2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Asignación de recurso técnico para desarrollo e integración con el Portal de Averías.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Arranque de Fase 1 — diagnóstico de data.</w:t>
            </w:r>
          </w:p>
        </w:tc>
      </w:tr>
    </w:tbl>
    <w:p>
      <w:pPr>
        <w:pBdr>
          <w:top w:val="single" w:color="D0D7E2" w:sz="6" w:space="8"/>
        </w:pBdr>
        <w:spacing w:before="4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Documento de uso interno — GarantiPlus México, S.A.P.I. de C.V. · Dirección Regional de Averías LATAM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Documento interno ·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Calibri" w:cs="Calibri" w:eastAsia="Calibri" w:hAnsi="Calibri"/>
        <w:color w:val="595959"/>
        <w:sz w:val="17"/>
        <w:szCs w:val="17"/>
      </w:rPr>
      <w:t xml:space="preserve">GarantiPlus  |  Dirección Regional de Averías LATAM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Automatización de Resoluciones de Averías — LATAM</dc:title>
  <dc:creator>David Simancas Estrada</dc:creator>
  <dc:description>Propuesta ejecutiva</dc:description>
  <cp:lastModifiedBy>Un-named</cp:lastModifiedBy>
  <cp:revision>1</cp:revision>
  <dcterms:created xsi:type="dcterms:W3CDTF">2026-08-31T16:04:51.012Z</dcterms:created>
  <dcterms:modified xsi:type="dcterms:W3CDTF">2026-08-31T16:04:51.013Z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