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BOLTE — Equity &amp; Profit Model (v1.0)</w:t>
      </w:r>
    </w:p>
    <w:p>
      <w:pPr/>
      <w:r>
        <w:t xml:space="preserve">Oct 2, 2026</w:t>
      </w:r>
      <w:r>
        <w:t xml:space="preserve"> · </w:t>
      </w:r>
      <w:r>
        <w:t xml:space="preserve">@Garba Abdullahi Baba</w:t>
      </w:r>
    </w:p>
    <w:p>
      <w:pPr/>
      <w:r>
        <w:rPr>
          <w:i/>
        </w:rPr>
        <w:t xml:space="preserve">Annex to the Founders’ Agreement and the Member MOU. Draft for review by Nigerian counsel and a tax adviser before anything is allotted or paid.</w:t>
      </w:r>
    </w:p>
    <w:p>
      <w:pPr>
        <w:pStyle w:val="Heading2"/>
      </w:pPr>
      <w:r>
        <w:t xml:space="preserve">1. The design in one page</w:t>
      </w:r>
    </w:p>
    <w:p>
      <w:pPr/>
      <w:r>
        <w:t xml:space="preserve">Your sample model mixes two different questions: who receives cash from prizes and grants, and who owns the company. Mixing them is the biggest equity risk in the repo. This model keeps your sample, gives it a clear and limited job, and adds a second layer for ownership.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Layer A: cash waterfall</w:t>
            </w:r>
          </w:p>
        </w:tc>
        <w:tc>
          <w:tcPr>
            <w:tcW w:w="3120" w:type="dxa"/>
            <w:shd w:val="clear" w:color="auto" w:fill="F2F2F2"/>
          </w:tcPr>
          <w:p>
            <w:pPr/>
            <w:r>
              <w:t xml:space="preserve">Layer B: ownership</w:t>
            </w:r>
          </w:p>
        </w:tc>
      </w:tr>
      <w:tr>
        <w:tc>
          <w:tcPr>
            <w:tcW w:w="3120" w:type="dxa"/>
          </w:tcPr>
          <w:p>
            <w:pPr/>
            <w:r>
              <w:t xml:space="preserve">What it is</w:t>
            </w:r>
          </w:p>
        </w:tc>
        <w:tc>
          <w:tcPr>
            <w:tcW w:w="3120" w:type="dxa"/>
          </w:tcPr>
          <w:p>
            <w:pPr/>
            <w:r>
              <w:t xml:space="preserve">Contractual split of net gains (prizes, grants, pilot revenue) while BOLTE is unincorporated</w:t>
            </w:r>
          </w:p>
        </w:tc>
        <w:tc>
          <w:tcPr>
            <w:tcW w:w="3120" w:type="dxa"/>
          </w:tcPr>
          <w:p>
            <w:pPr/>
            <w:r>
              <w:t xml:space="preserve">Shares in the CAC company, vesting monthly</w:t>
            </w:r>
          </w:p>
        </w:tc>
      </w:tr>
      <w:tr>
        <w:tc>
          <w:tcPr>
            <w:tcW w:w="3120" w:type="dxa"/>
          </w:tcPr>
          <w:p>
            <w:pPr/>
            <w:r>
              <w:t xml:space="preserve">Lasts</w:t>
            </w:r>
          </w:p>
        </w:tc>
        <w:tc>
          <w:tcPr>
            <w:tcW w:w="3120" w:type="dxa"/>
          </w:tcPr>
          <w:p>
            <w:pPr/>
            <w:r>
              <w:t xml:space="preserve">From the Effective Date (02 Oct 2026) until the CAC certificate date</w:t>
            </w:r>
          </w:p>
        </w:tc>
        <w:tc>
          <w:tcPr>
            <w:tcW w:w="3120" w:type="dxa"/>
          </w:tcPr>
          <w:p>
            <w:pPr/>
            <w:r>
              <w:t xml:space="preserve">From allotment onwards</w:t>
            </w:r>
          </w:p>
        </w:tc>
      </w:tr>
      <w:tr>
        <w:tc>
          <w:tcPr>
            <w:tcW w:w="3120" w:type="dxa"/>
          </w:tcPr>
          <w:p>
            <w:pPr/>
            <w:r>
              <w:t xml:space="preserve">Gives</w:t>
            </w:r>
          </w:p>
        </w:tc>
        <w:tc>
          <w:tcPr>
            <w:tcW w:w="3120" w:type="dxa"/>
          </w:tcPr>
          <w:p>
            <w:pPr/>
            <w:r>
              <w:t xml:space="preserve">Cash only. No ownership, no vote</w:t>
            </w:r>
          </w:p>
        </w:tc>
        <w:tc>
          <w:tcPr>
            <w:tcW w:w="3120" w:type="dxa"/>
          </w:tcPr>
          <w:p>
            <w:pPr/>
            <w:r>
              <w:t xml:space="preserve">Ownership, votes as the articles provide, dividends</w:t>
            </w:r>
          </w:p>
        </w:tc>
      </w:tr>
      <w:tr>
        <w:tc>
          <w:tcPr>
            <w:tcW w:w="3120" w:type="dxa"/>
          </w:tcPr>
          <w:p>
            <w:pPr/>
            <w:r>
              <w:t xml:space="preserve">Numbers</w:t>
            </w:r>
          </w:p>
        </w:tc>
        <w:tc>
          <w:tcPr>
            <w:tcW w:w="3120" w:type="dxa"/>
          </w:tcPr>
          <w:p>
            <w:pPr/>
            <w:r>
              <w:t xml:space="preserve">Your decision of 30 Sept 2026: 70 / 6 / 6 / 4.5 × 4</w:t>
            </w:r>
          </w:p>
        </w:tc>
        <w:tc>
          <w:tcPr>
            <w:tcW w:w="3120" w:type="dxa"/>
          </w:tcPr>
          <w:p>
            <w:pPr/>
            <w:r>
              <w:t xml:space="preserve">New: 65 / 18 / 1 / 16</w:t>
            </w:r>
          </w:p>
        </w:tc>
      </w:tr>
      <w:tr>
        <w:tc>
          <w:tcPr>
            <w:tcW w:w="3120" w:type="dxa"/>
          </w:tcPr>
          <w:p>
            <w:pPr/>
            <w:r>
              <w:t xml:space="preserve">Ends</w:t>
            </w:r>
          </w:p>
        </w:tc>
        <w:tc>
          <w:tcPr>
            <w:tcW w:w="3120" w:type="dxa"/>
          </w:tcPr>
          <w:p>
            <w:pPr/>
            <w:r>
              <w:t xml:space="preserve">Sunsets at incorporation; unspent money becomes company reserves</w:t>
            </w:r>
          </w:p>
        </w:tc>
        <w:tc>
          <w:tcPr>
            <w:tcW w:w="3120" w:type="dxa"/>
          </w:tcPr>
          <w:p>
            <w:pPr/>
            <w:r>
              <w:t xml:space="preserve">Never, subject to vesting and leaver rules</w:t>
            </w:r>
          </w:p>
        </w:tc>
      </w:tr>
    </w:tbl>
    <w:p>
      <w:pPr/>
      <w:r>
        <w:t xml:space="preserve">Why this fits BOLTE: it keeps your treasury-first principle; it is investor-ready (a clean share register, a reserved pool for hires, vesting); it stops part-time contributions from earning permanent ownership; and it keeps the combined 18% for the four members from your sample.</w:t>
      </w:r>
    </w:p>
    <w:p>
      <w:pPr>
        <w:pStyle w:val="Heading2"/>
      </w:pPr>
      <w:r>
        <w:t xml:space="preserve">2. Layer A: the cash waterfall (your sample, kept)</w:t>
      </w:r>
    </w:p>
    <w:p>
      <w:pPr/>
      <w:r>
        <w:rPr>
          <w:b/>
        </w:rPr>
        <w:t xml:space="preserve">Definitions.</w:t>
      </w:r>
      <w:r>
        <w:t xml:space="preserve"> Gross gains = prizes, grants, sponsorship and revenue received. Costs = direct costs supported by receipts. Net gains (N) = gross gains minus costs.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Beneficiary</w:t>
            </w:r>
          </w:p>
        </w:tc>
        <w:tc>
          <w:tcPr>
            <w:tcW w:w="3120" w:type="dxa"/>
            <w:shd w:val="clear" w:color="auto" w:fill="F2F2F2"/>
          </w:tcPr>
          <w:p>
            <w:pPr/>
            <w:r>
              <w:t xml:space="preserve">% of N</w:t>
            </w:r>
          </w:p>
        </w:tc>
        <w:tc>
          <w:tcPr>
            <w:tcW w:w="3120" w:type="dxa"/>
            <w:shd w:val="clear" w:color="auto" w:fill="F2F2F2"/>
          </w:tcPr>
          <w:p>
            <w:pPr/>
            <w:r>
              <w:t xml:space="preserve">Notes</w:t>
            </w:r>
          </w:p>
        </w:tc>
      </w:tr>
      <w:tr>
        <w:tc>
          <w:tcPr>
            <w:tcW w:w="3120" w:type="dxa"/>
          </w:tcPr>
          <w:p>
            <w:pPr/>
            <w:r>
              <w:t xml:space="preserve">Treasury (held for the Company)</w:t>
            </w:r>
          </w:p>
        </w:tc>
        <w:tc>
          <w:tcPr>
            <w:tcW w:w="3120" w:type="dxa"/>
          </w:tcPr>
          <w:p>
            <w:pPr/>
            <w:r>
              <w:t xml:space="preserve">70.0</w:t>
            </w:r>
          </w:p>
        </w:tc>
        <w:tc>
          <w:tcPr>
            <w:tcW w:w="3120" w:type="dxa"/>
          </w:tcPr>
          <w:p>
            <w:pPr/>
            <w:r>
              <w:t xml:space="preserve">R&amp;D, labs, reserves; includes the Seat E share</w:t>
            </w:r>
          </w:p>
        </w:tc>
      </w:tr>
      <w:tr>
        <w:tc>
          <w:tcPr>
            <w:tcW w:w="3120" w:type="dxa"/>
          </w:tcPr>
          <w:p>
            <w:pPr/>
            <w:r>
              <w:t xml:space="preserve">Abdullahi Garba</w:t>
            </w:r>
          </w:p>
        </w:tc>
        <w:tc>
          <w:tcPr>
            <w:tcW w:w="3120" w:type="dxa"/>
          </w:tcPr>
          <w:p>
            <w:pPr/>
            <w:r>
              <w:t xml:space="preserve">6.0</w:t>
            </w:r>
          </w:p>
        </w:tc>
        <w:tc>
          <w:tcPr>
            <w:tcW w:w="3120" w:type="dxa"/>
          </w:tcPr>
          <w:p>
            <w:pPr/>
            <w:r>
              <w:t xml:space="preserve">Co-founder, CEO/CTO</w:t>
            </w:r>
          </w:p>
        </w:tc>
      </w:tr>
      <w:tr>
        <w:tc>
          <w:tcPr>
            <w:tcW w:w="3120" w:type="dxa"/>
          </w:tcPr>
          <w:p>
            <w:pPr/>
            <w:r>
              <w:t xml:space="preserve">Essien Frances</w:t>
            </w:r>
          </w:p>
        </w:tc>
        <w:tc>
          <w:tcPr>
            <w:tcW w:w="3120" w:type="dxa"/>
          </w:tcPr>
          <w:p>
            <w:pPr/>
            <w:r>
              <w:t xml:space="preserve">6.0</w:t>
            </w:r>
          </w:p>
        </w:tc>
        <w:tc>
          <w:tcPr>
            <w:tcW w:w="3120" w:type="dxa"/>
          </w:tcPr>
          <w:p>
            <w:pPr/>
            <w:r>
              <w:t xml:space="preserve">Co-founder, COO &amp; Research Lead</w:t>
            </w:r>
          </w:p>
        </w:tc>
      </w:tr>
      <w:tr>
        <w:tc>
          <w:tcPr>
            <w:tcW w:w="3120" w:type="dxa"/>
          </w:tcPr>
          <w:p>
            <w:pPr/>
            <w:r>
              <w:t xml:space="preserve">Treasurer (B1)</w:t>
            </w:r>
          </w:p>
        </w:tc>
        <w:tc>
          <w:tcPr>
            <w:tcW w:w="3120" w:type="dxa"/>
          </w:tcPr>
          <w:p>
            <w:pPr/>
            <w:r>
              <w:t xml:space="preserve">4.5</w:t>
            </w:r>
          </w:p>
        </w:tc>
        <w:tc>
          <w:tcPr>
            <w:tcW w:w="3120" w:type="dxa"/>
          </w:tcPr>
          <w:p>
            <w:pPr/>
            <w:r>
              <w:t xml:space="preserve">Provisional</w:t>
            </w:r>
          </w:p>
        </w:tc>
      </w:tr>
      <w:tr>
        <w:tc>
          <w:tcPr>
            <w:tcW w:w="3120" w:type="dxa"/>
          </w:tcPr>
          <w:p>
            <w:pPr/>
            <w:r>
              <w:t xml:space="preserve">Product Designer &amp; Manager (B2)</w:t>
            </w:r>
          </w:p>
        </w:tc>
        <w:tc>
          <w:tcPr>
            <w:tcW w:w="3120" w:type="dxa"/>
          </w:tcPr>
          <w:p>
            <w:pPr/>
            <w:r>
              <w:t xml:space="preserve">4.5</w:t>
            </w:r>
          </w:p>
        </w:tc>
        <w:tc>
          <w:tcPr>
            <w:tcW w:w="3120" w:type="dxa"/>
          </w:tcPr>
          <w:p>
            <w:pPr/>
          </w:p>
        </w:tc>
      </w:tr>
      <w:tr>
        <w:tc>
          <w:tcPr>
            <w:tcW w:w="3120" w:type="dxa"/>
          </w:tcPr>
          <w:p>
            <w:pPr/>
            <w:r>
              <w:t xml:space="preserve">Lead Engineer (C)</w:t>
            </w:r>
          </w:p>
        </w:tc>
        <w:tc>
          <w:tcPr>
            <w:tcW w:w="3120" w:type="dxa"/>
          </w:tcPr>
          <w:p>
            <w:pPr/>
            <w:r>
              <w:t xml:space="preserve">4.5</w:t>
            </w:r>
          </w:p>
        </w:tc>
        <w:tc>
          <w:tcPr>
            <w:tcW w:w="3120" w:type="dxa"/>
          </w:tcPr>
          <w:p>
            <w:pPr/>
          </w:p>
        </w:tc>
      </w:tr>
      <w:tr>
        <w:tc>
          <w:tcPr>
            <w:tcW w:w="3120" w:type="dxa"/>
          </w:tcPr>
          <w:p>
            <w:pPr/>
            <w:r>
              <w:t xml:space="preserve">Assistant to Lead Engineer (D)</w:t>
            </w:r>
          </w:p>
        </w:tc>
        <w:tc>
          <w:tcPr>
            <w:tcW w:w="3120" w:type="dxa"/>
          </w:tcPr>
          <w:p>
            <w:pPr/>
            <w:r>
              <w:t xml:space="preserve">4.5</w:t>
            </w:r>
          </w:p>
        </w:tc>
        <w:tc>
          <w:tcPr>
            <w:tcW w:w="3120" w:type="dxa"/>
          </w:tcPr>
          <w:p>
            <w:pPr/>
          </w:p>
        </w:tc>
      </w:tr>
      <w:tr>
        <w:tc>
          <w:tcPr>
            <w:tcW w:w="3120" w:type="dxa"/>
          </w:tcPr>
          <w:p>
            <w:pPr/>
            <w:r>
              <w:t xml:space="preserve">Adviser (Seat E)</w:t>
            </w:r>
          </w:p>
        </w:tc>
        <w:tc>
          <w:tcPr>
            <w:tcW w:w="3120" w:type="dxa"/>
          </w:tcPr>
          <w:p>
            <w:pPr/>
            <w:r>
              <w:t xml:space="preserve">0.0</w:t>
            </w:r>
          </w:p>
        </w:tc>
        <w:tc>
          <w:tcPr>
            <w:tcW w:w="3120" w:type="dxa"/>
          </w:tcPr>
          <w:p>
            <w:pPr/>
            <w:r>
              <w:t xml:space="preserve">The Adviser is paid in Layer B equity, not Layer A</w:t>
            </w:r>
          </w:p>
        </w:tc>
      </w:tr>
      <w:tr>
        <w:tc>
          <w:tcPr>
            <w:tcW w:w="3120" w:type="dxa"/>
          </w:tcPr>
          <w:p>
            <w:pPr/>
            <w:r>
              <w:rPr>
                <w:b/>
              </w:rPr>
              <w:t xml:space="preserve">Total</w:t>
            </w:r>
          </w:p>
        </w:tc>
        <w:tc>
          <w:tcPr>
            <w:tcW w:w="3120" w:type="dxa"/>
          </w:tcPr>
          <w:p>
            <w:pPr/>
            <w:r>
              <w:rPr>
                <w:b/>
              </w:rPr>
              <w:t xml:space="preserve">100.0</w:t>
            </w:r>
          </w:p>
        </w:tc>
        <w:tc>
          <w:tcPr>
            <w:tcW w:w="3120" w:type="dxa"/>
          </w:tcPr>
          <w:p>
            <w:pPr/>
          </w:p>
        </w:tc>
      </w:tr>
    </w:tbl>
    <w:p>
      <w:pPr/>
      <w:r>
        <w:t xml:space="preserve">Worked example: N = ₦1,000,000 gives Treasury ₦700,000; each founder ₦60,000; each of the four members ₦45,000.</w:t>
      </w:r>
    </w:p>
    <w:p>
      <w:pPr/>
      <w:r>
        <w:rPr>
          <w:b/>
        </w:rPr>
        <w:t xml:space="preserve">Rules</w:t>
      </w:r>
    </w:p>
    <w:p>
      <w:pPr>
        <w:pStyle w:val="ListParagraph"/>
        <w:numPr>
          <w:ilvl w:val="0"/>
          <w:numId w:val="2"/>
        </w:numPr>
      </w:pPr>
      <w:r>
        <w:rPr>
          <w:b/>
        </w:rPr>
        <w:t xml:space="preserve">Eligibility:</w:t>
      </w:r>
      <w:r>
        <w:t xml:space="preserve"> NDA, IP Assignment and MOU signed; no unresolved misconduct; the Contribution Standard met in the earning period, or approved leave.</w:t>
      </w:r>
    </w:p>
    <w:p>
      <w:pPr>
        <w:pStyle w:val="ListParagraph"/>
        <w:numPr>
          <w:ilvl w:val="0"/>
          <w:numId w:val="2"/>
        </w:numPr>
      </w:pPr>
      <w:r>
        <w:rPr>
          <w:b/>
        </w:rPr>
        <w:t xml:space="preserve">Pro-rata:</w:t>
      </w:r>
      <w:r>
        <w:t xml:space="preserve"> a member’s share is scaled by Active Weeks (weeks in which the Contribution Standard was met) from the Effective Date, or from the last distribution, to the date the gain is received.</w:t>
      </w:r>
    </w:p>
    <w:p>
      <w:pPr>
        <w:pStyle w:val="ListParagraph"/>
        <w:numPr>
          <w:ilvl w:val="0"/>
          <w:numId w:val="2"/>
        </w:numPr>
      </w:pPr>
      <w:r>
        <w:rPr>
          <w:b/>
        </w:rPr>
        <w:t xml:space="preserve">Reserve first:</w:t>
      </w:r>
      <w:r>
        <w:t xml:space="preserve"> no distribution until three months of planned costs are held in reserve. Both founders decide timing.</w:t>
      </w:r>
    </w:p>
    <w:p>
      <w:pPr>
        <w:pStyle w:val="ListParagraph"/>
        <w:numPr>
          <w:ilvl w:val="0"/>
          <w:numId w:val="2"/>
        </w:numPr>
      </w:pPr>
      <w:r>
        <w:rPr>
          <w:b/>
        </w:rPr>
        <w:t xml:space="preserve">Prize rule:</w:t>
      </w:r>
      <w:r>
        <w:t xml:space="preserve"> NDAIE and other competition prizes follow the same split unless the competing sub-team and both founders agree otherwise in writing before submission.</w:t>
      </w:r>
    </w:p>
    <w:p>
      <w:pPr>
        <w:pStyle w:val="ListParagraph"/>
        <w:numPr>
          <w:ilvl w:val="0"/>
          <w:numId w:val="2"/>
        </w:numPr>
      </w:pPr>
      <w:r>
        <w:rPr>
          <w:b/>
        </w:rPr>
        <w:t xml:space="preserve">Forfeited or unclaimed shares</w:t>
      </w:r>
      <w:r>
        <w:t xml:space="preserve"> return to Treasury.</w:t>
      </w:r>
    </w:p>
    <w:p>
      <w:pPr>
        <w:pStyle w:val="ListParagraph"/>
        <w:numPr>
          <w:ilvl w:val="0"/>
          <w:numId w:val="2"/>
        </w:numPr>
      </w:pPr>
      <w:r>
        <w:rPr>
          <w:b/>
        </w:rPr>
        <w:t xml:space="preserve">Seat E math is resolved:</w:t>
      </w:r>
      <w:r>
        <w:t xml:space="preserve"> the Seat E share stays in Treasury. There is no 5 × 3.6 re-split.</w:t>
      </w:r>
    </w:p>
    <w:p>
      <w:pPr>
        <w:pStyle w:val="ListParagraph"/>
        <w:numPr>
          <w:ilvl w:val="0"/>
          <w:numId w:val="2"/>
        </w:numPr>
      </w:pPr>
      <w:r>
        <w:rPr>
          <w:b/>
        </w:rPr>
        <w:t xml:space="preserve">Tax:</w:t>
      </w:r>
      <w:r>
        <w:t xml:space="preserve"> a payment is income of the person who receives it. The custodian may need to withhold or report. Your accountant should set the process up before the first payout.</w:t>
      </w:r>
    </w:p>
    <w:p>
      <w:pPr>
        <w:pStyle w:val="ListParagraph"/>
        <w:numPr>
          <w:ilvl w:val="0"/>
          <w:numId w:val="2"/>
        </w:numPr>
      </w:pPr>
      <w:r>
        <w:rPr>
          <w:b/>
        </w:rPr>
        <w:t xml:space="preserve">Sunset:</w:t>
      </w:r>
      <w:r>
        <w:t xml:space="preserve"> Layer A ends on the date the CAC certificate is issued. Amounts already earned by eligible people are paid within 60 days. Unspent Treasury money becomes Company reserves. After that, cash follows shareholding through dividends (§6).</w:t>
      </w:r>
    </w:p>
    <w:p>
      <w:pPr/>
      <w:r>
        <w:t xml:space="preserve">A fairness note: by your decision Layer A pays the four members more in total (18 points) than the two founders (12 points). That is workable only because it is short-lived and carries no ownership. If you expect large sums before incorporation, revisit it before the first payout.</w:t>
      </w:r>
    </w:p>
    <w:p>
      <w:pPr>
        <w:pStyle w:val="Heading2"/>
      </w:pPr>
      <w:r>
        <w:t xml:space="preserve">3. Layer B: ownership at incorporation (fully diluted)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Holder</w:t>
            </w:r>
          </w:p>
        </w:tc>
        <w:tc>
          <w:tcPr>
            <w:tcW w:w="1872" w:type="dxa"/>
            <w:shd w:val="clear" w:color="auto" w:fill="F2F2F2"/>
          </w:tcPr>
          <w:p>
            <w:pPr/>
            <w:r>
              <w:t xml:space="preserve">Role</w:t>
            </w:r>
          </w:p>
        </w:tc>
        <w:tc>
          <w:tcPr>
            <w:tcW w:w="1872" w:type="dxa"/>
            <w:shd w:val="clear" w:color="auto" w:fill="F2F2F2"/>
          </w:tcPr>
          <w:p>
            <w:pPr/>
            <w:r>
              <w:t xml:space="preserve">% fully diluted</w:t>
            </w:r>
          </w:p>
        </w:tc>
        <w:tc>
          <w:tcPr>
            <w:tcW w:w="1872" w:type="dxa"/>
            <w:shd w:val="clear" w:color="auto" w:fill="F2F2F2"/>
          </w:tcPr>
          <w:p>
            <w:pPr/>
            <w:r>
              <w:t xml:space="preserve">Vesting</w:t>
            </w:r>
          </w:p>
        </w:tc>
        <w:tc>
          <w:tcPr>
            <w:tcW w:w="1872" w:type="dxa"/>
            <w:shd w:val="clear" w:color="auto" w:fill="F2F2F2"/>
          </w:tcPr>
          <w:p>
            <w:pPr/>
            <w:r>
              <w:t xml:space="preserve">Notes</w:t>
            </w:r>
          </w:p>
        </w:tc>
      </w:tr>
      <w:tr>
        <w:tc>
          <w:tcPr>
            <w:tcW w:w="1872" w:type="dxa"/>
          </w:tcPr>
          <w:p>
            <w:pPr/>
            <w:r>
              <w:t xml:space="preserve">Abdullahi Garba</w:t>
            </w:r>
          </w:p>
        </w:tc>
        <w:tc>
          <w:tcPr>
            <w:tcW w:w="1872" w:type="dxa"/>
          </w:tcPr>
          <w:p>
            <w:pPr/>
            <w:r>
              <w:t xml:space="preserve">Founder, CEO/CTO</w:t>
            </w:r>
          </w:p>
        </w:tc>
        <w:tc>
          <w:tcPr>
            <w:tcW w:w="1872" w:type="dxa"/>
          </w:tcPr>
          <w:p>
            <w:pPr/>
            <w:r>
              <w:t xml:space="preserve">35.0</w:t>
            </w:r>
          </w:p>
        </w:tc>
        <w:tc>
          <w:tcPr>
            <w:tcW w:w="1872" w:type="dxa"/>
          </w:tcPr>
          <w:p>
            <w:pPr/>
            <w:r>
              <w:t xml:space="preserve">4 years, 12-month cliff</w:t>
            </w:r>
          </w:p>
        </w:tc>
        <w:tc>
          <w:tcPr>
            <w:tcW w:w="1872" w:type="dxa"/>
          </w:tcPr>
          <w:p>
            <w:pPr/>
            <w:r>
              <w:t xml:space="preserve">30 base + 5 IP Contribution Shares</w:t>
            </w:r>
          </w:p>
        </w:tc>
      </w:tr>
      <w:tr>
        <w:tc>
          <w:tcPr>
            <w:tcW w:w="1872" w:type="dxa"/>
          </w:tcPr>
          <w:p>
            <w:pPr/>
            <w:r>
              <w:t xml:space="preserve">Essien Frances</w:t>
            </w:r>
          </w:p>
        </w:tc>
        <w:tc>
          <w:tcPr>
            <w:tcW w:w="1872" w:type="dxa"/>
          </w:tcPr>
          <w:p>
            <w:pPr/>
            <w:r>
              <w:t xml:space="preserve">Founder, COO &amp; Research Lead</w:t>
            </w:r>
          </w:p>
        </w:tc>
        <w:tc>
          <w:tcPr>
            <w:tcW w:w="1872" w:type="dxa"/>
          </w:tcPr>
          <w:p>
            <w:pPr/>
            <w:r>
              <w:t xml:space="preserve">30.0</w:t>
            </w:r>
          </w:p>
        </w:tc>
        <w:tc>
          <w:tcPr>
            <w:tcW w:w="1872" w:type="dxa"/>
          </w:tcPr>
          <w:p>
            <w:pPr/>
            <w:r>
              <w:t xml:space="preserve">4 years, 12-month cliff</w:t>
            </w:r>
          </w:p>
        </w:tc>
        <w:tc>
          <w:tcPr>
            <w:tcW w:w="1872" w:type="dxa"/>
          </w:tcPr>
          <w:p>
            <w:pPr/>
            <w:r>
              <w:t xml:space="preserve">30 base</w:t>
            </w:r>
          </w:p>
        </w:tc>
      </w:tr>
      <w:tr>
        <w:tc>
          <w:tcPr>
            <w:tcW w:w="1872" w:type="dxa"/>
          </w:tcPr>
          <w:p>
            <w:pPr/>
            <w:r>
              <w:t xml:space="preserve">Treasurer (B1)</w:t>
            </w:r>
          </w:p>
        </w:tc>
        <w:tc>
          <w:tcPr>
            <w:tcW w:w="1872" w:type="dxa"/>
          </w:tcPr>
          <w:p>
            <w:pPr/>
            <w:r>
              <w:t xml:space="preserve">Core Team</w:t>
            </w:r>
          </w:p>
        </w:tc>
        <w:tc>
          <w:tcPr>
            <w:tcW w:w="1872" w:type="dxa"/>
          </w:tcPr>
          <w:p>
            <w:pPr/>
            <w:r>
              <w:t xml:space="preserve">4.5</w:t>
            </w:r>
          </w:p>
        </w:tc>
        <w:tc>
          <w:tcPr>
            <w:tcW w:w="1872" w:type="dxa"/>
          </w:tcPr>
          <w:p>
            <w:pPr/>
            <w:r>
              <w:t xml:space="preserve">4 years, 6-month cliff</w:t>
            </w:r>
          </w:p>
        </w:tc>
        <w:tc>
          <w:tcPr>
            <w:tcW w:w="1872" w:type="dxa"/>
          </w:tcPr>
          <w:p>
            <w:pPr/>
          </w:p>
        </w:tc>
      </w:tr>
      <w:tr>
        <w:tc>
          <w:tcPr>
            <w:tcW w:w="1872" w:type="dxa"/>
          </w:tcPr>
          <w:p>
            <w:pPr/>
            <w:r>
              <w:t xml:space="preserve">Product Designer &amp; Manager (B2)</w:t>
            </w:r>
          </w:p>
        </w:tc>
        <w:tc>
          <w:tcPr>
            <w:tcW w:w="1872" w:type="dxa"/>
          </w:tcPr>
          <w:p>
            <w:pPr/>
            <w:r>
              <w:t xml:space="preserve">Core Team</w:t>
            </w:r>
          </w:p>
        </w:tc>
        <w:tc>
          <w:tcPr>
            <w:tcW w:w="1872" w:type="dxa"/>
          </w:tcPr>
          <w:p>
            <w:pPr/>
            <w:r>
              <w:t xml:space="preserve">4.5</w:t>
            </w:r>
          </w:p>
        </w:tc>
        <w:tc>
          <w:tcPr>
            <w:tcW w:w="1872" w:type="dxa"/>
          </w:tcPr>
          <w:p>
            <w:pPr/>
            <w:r>
              <w:t xml:space="preserve">4 years, 6-month cliff</w:t>
            </w:r>
          </w:p>
        </w:tc>
        <w:tc>
          <w:tcPr>
            <w:tcW w:w="1872" w:type="dxa"/>
          </w:tcPr>
          <w:p>
            <w:pPr/>
          </w:p>
        </w:tc>
      </w:tr>
      <w:tr>
        <w:tc>
          <w:tcPr>
            <w:tcW w:w="1872" w:type="dxa"/>
          </w:tcPr>
          <w:p>
            <w:pPr/>
            <w:r>
              <w:t xml:space="preserve">Lead Engineer (C)</w:t>
            </w:r>
          </w:p>
        </w:tc>
        <w:tc>
          <w:tcPr>
            <w:tcW w:w="1872" w:type="dxa"/>
          </w:tcPr>
          <w:p>
            <w:pPr/>
            <w:r>
              <w:t xml:space="preserve">Core Team</w:t>
            </w:r>
          </w:p>
        </w:tc>
        <w:tc>
          <w:tcPr>
            <w:tcW w:w="1872" w:type="dxa"/>
          </w:tcPr>
          <w:p>
            <w:pPr/>
            <w:r>
              <w:t xml:space="preserve">4.5</w:t>
            </w:r>
          </w:p>
        </w:tc>
        <w:tc>
          <w:tcPr>
            <w:tcW w:w="1872" w:type="dxa"/>
          </w:tcPr>
          <w:p>
            <w:pPr/>
            <w:r>
              <w:t xml:space="preserve">4 years, 6-month cliff</w:t>
            </w:r>
          </w:p>
        </w:tc>
        <w:tc>
          <w:tcPr>
            <w:tcW w:w="1872" w:type="dxa"/>
          </w:tcPr>
          <w:p>
            <w:pPr/>
          </w:p>
        </w:tc>
      </w:tr>
      <w:tr>
        <w:tc>
          <w:tcPr>
            <w:tcW w:w="1872" w:type="dxa"/>
          </w:tcPr>
          <w:p>
            <w:pPr/>
            <w:r>
              <w:t xml:space="preserve">Assistant to Lead Engineer (D)</w:t>
            </w:r>
          </w:p>
        </w:tc>
        <w:tc>
          <w:tcPr>
            <w:tcW w:w="1872" w:type="dxa"/>
          </w:tcPr>
          <w:p>
            <w:pPr/>
            <w:r>
              <w:t xml:space="preserve">Core Team</w:t>
            </w:r>
          </w:p>
        </w:tc>
        <w:tc>
          <w:tcPr>
            <w:tcW w:w="1872" w:type="dxa"/>
          </w:tcPr>
          <w:p>
            <w:pPr/>
            <w:r>
              <w:t xml:space="preserve">4.5</w:t>
            </w:r>
          </w:p>
        </w:tc>
        <w:tc>
          <w:tcPr>
            <w:tcW w:w="1872" w:type="dxa"/>
          </w:tcPr>
          <w:p>
            <w:pPr/>
            <w:r>
              <w:t xml:space="preserve">4 years, 6-month cliff</w:t>
            </w:r>
          </w:p>
        </w:tc>
        <w:tc>
          <w:tcPr>
            <w:tcW w:w="1872" w:type="dxa"/>
          </w:tcPr>
          <w:p>
            <w:pPr/>
          </w:p>
        </w:tc>
      </w:tr>
      <w:tr>
        <w:tc>
          <w:tcPr>
            <w:tcW w:w="1872" w:type="dxa"/>
          </w:tcPr>
          <w:p>
            <w:pPr/>
            <w:r>
              <w:t xml:space="preserve">Business &amp; Financial Adviser (E)</w:t>
            </w:r>
          </w:p>
        </w:tc>
        <w:tc>
          <w:tcPr>
            <w:tcW w:w="1872" w:type="dxa"/>
          </w:tcPr>
          <w:p>
            <w:pPr/>
            <w:r>
              <w:t xml:space="preserve">Adviser</w:t>
            </w:r>
          </w:p>
        </w:tc>
        <w:tc>
          <w:tcPr>
            <w:tcW w:w="1872" w:type="dxa"/>
          </w:tcPr>
          <w:p>
            <w:pPr/>
            <w:r>
              <w:t xml:space="preserve">1.0</w:t>
            </w:r>
          </w:p>
        </w:tc>
        <w:tc>
          <w:tcPr>
            <w:tcW w:w="1872" w:type="dxa"/>
          </w:tcPr>
          <w:p>
            <w:pPr/>
            <w:r>
              <w:t xml:space="preserve">2 years, 3-month cliff</w:t>
            </w:r>
          </w:p>
        </w:tc>
        <w:tc>
          <w:tcPr>
            <w:tcW w:w="1872" w:type="dxa"/>
          </w:tcPr>
          <w:p>
            <w:pPr/>
            <w:r>
              <w:t xml:space="preserve">Separate Adviser Agreement</w:t>
            </w:r>
          </w:p>
        </w:tc>
      </w:tr>
      <w:tr>
        <w:tc>
          <w:tcPr>
            <w:tcW w:w="1872" w:type="dxa"/>
          </w:tcPr>
          <w:p>
            <w:pPr/>
            <w:r>
              <w:t xml:space="preserve">Reserve pool</w:t>
            </w:r>
          </w:p>
        </w:tc>
        <w:tc>
          <w:tcPr>
            <w:tcW w:w="1872" w:type="dxa"/>
          </w:tcPr>
          <w:p>
            <w:pPr/>
            <w:r>
              <w:t xml:space="preserve">Unissued</w:t>
            </w:r>
          </w:p>
        </w:tc>
        <w:tc>
          <w:tcPr>
            <w:tcW w:w="1872" w:type="dxa"/>
          </w:tcPr>
          <w:p>
            <w:pPr/>
            <w:r>
              <w:t xml:space="preserve">16.0</w:t>
            </w:r>
          </w:p>
        </w:tc>
        <w:tc>
          <w:tcPr>
            <w:tcW w:w="1872" w:type="dxa"/>
          </w:tcPr>
          <w:p>
            <w:pPr/>
            <w:r>
              <w:t xml:space="preserve">n/a</w:t>
            </w:r>
          </w:p>
        </w:tc>
        <w:tc>
          <w:tcPr>
            <w:tcW w:w="1872" w:type="dxa"/>
          </w:tcPr>
          <w:p>
            <w:pPr/>
            <w:r>
              <w:t xml:space="preserve">Future hires, advisers, key talent</w:t>
            </w:r>
          </w:p>
        </w:tc>
      </w:tr>
      <w:tr>
        <w:tc>
          <w:tcPr>
            <w:tcW w:w="1872" w:type="dxa"/>
          </w:tcPr>
          <w:p>
            <w:pPr/>
            <w:r>
              <w:rPr>
                <w:b/>
              </w:rPr>
              <w:t xml:space="preserve">Total</w:t>
            </w:r>
          </w:p>
        </w:tc>
        <w:tc>
          <w:tcPr>
            <w:tcW w:w="1872" w:type="dxa"/>
          </w:tcPr>
          <w:p>
            <w:pPr/>
          </w:p>
        </w:tc>
        <w:tc>
          <w:tcPr>
            <w:tcW w:w="1872" w:type="dxa"/>
          </w:tcPr>
          <w:p>
            <w:pPr/>
            <w:r>
              <w:rPr>
                <w:b/>
              </w:rPr>
              <w:t xml:space="preserve">100.0</w:t>
            </w:r>
          </w:p>
        </w:tc>
        <w:tc>
          <w:tcPr>
            <w:tcW w:w="1872" w:type="dxa"/>
          </w:tcPr>
          <w:p>
            <w:pPr/>
          </w:p>
        </w:tc>
        <w:tc>
          <w:tcPr>
            <w:tcW w:w="1872" w:type="dxa"/>
          </w:tcPr>
          <w:p>
            <w:pPr/>
          </w:p>
        </w:tc>
      </w:tr>
    </w:tbl>
    <w:p>
      <w:pPr/>
      <w:r>
        <w:t xml:space="preserve">Founders’ block = 65. Core Team = 18 (equal to your sample). If the founders waive the IP premium, the split is 32.5 / 32.5.</w:t>
      </w:r>
    </w:p>
    <w:p>
      <w:pPr/>
      <w:r>
        <w:rPr>
          <w:b/>
        </w:rPr>
        <w:t xml:space="preserve">Fully diluted</w:t>
      </w:r>
      <w:r>
        <w:t xml:space="preserve"> means the reserve is counted as if issued, so percentages do not jump when you grant from it. Reserve shares are unissued: no vote, no dividend. Only a board resolution can allot from the reserve, and issuing equity is a reserved matter that needs both founders.</w:t>
      </w:r>
    </w:p>
    <w:p>
      <w:pPr/>
      <w:r>
        <w:rPr>
          <w:b/>
        </w:rPr>
        <w:t xml:space="preserve">Why these numbers.</w:t>
      </w:r>
      <w:r>
        <w:t xml:space="preserve"> Founders carry the full-time risk, the IP and, later, personal guarantees; 65% leaves room for a pre-seed investor while keeping the founders firmly in control. The Core Team keeps your 18%. Adviser grants are typically a fraction of one percent up to about one percent, so 1% is the ceiling for a defined, active role. The 16% reserve covers several key hires and the pool investors usually ask for before a round.</w:t>
      </w:r>
    </w:p>
    <w:p>
      <w:pPr>
        <w:pStyle w:val="Heading2"/>
      </w:pPr>
      <w:r>
        <w:t xml:space="preserve">4. Vesting, cliffs and leavers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Group</w:t>
            </w:r>
          </w:p>
        </w:tc>
        <w:tc>
          <w:tcPr>
            <w:tcW w:w="1872" w:type="dxa"/>
            <w:shd w:val="clear" w:color="auto" w:fill="F2F2F2"/>
          </w:tcPr>
          <w:p>
            <w:pPr/>
            <w:r>
              <w:t xml:space="preserve">Term</w:t>
            </w:r>
          </w:p>
        </w:tc>
        <w:tc>
          <w:tcPr>
            <w:tcW w:w="1872" w:type="dxa"/>
            <w:shd w:val="clear" w:color="auto" w:fill="F2F2F2"/>
          </w:tcPr>
          <w:p>
            <w:pPr/>
            <w:r>
              <w:t xml:space="preserve">Cliff</w:t>
            </w:r>
          </w:p>
        </w:tc>
        <w:tc>
          <w:tcPr>
            <w:tcW w:w="1872" w:type="dxa"/>
            <w:shd w:val="clear" w:color="auto" w:fill="F2F2F2"/>
          </w:tcPr>
          <w:p>
            <w:pPr/>
            <w:r>
              <w:t xml:space="preserve">Then</w:t>
            </w:r>
          </w:p>
        </w:tc>
        <w:tc>
          <w:tcPr>
            <w:tcW w:w="1872" w:type="dxa"/>
            <w:shd w:val="clear" w:color="auto" w:fill="F2F2F2"/>
          </w:tcPr>
          <w:p>
            <w:pPr/>
            <w:r>
              <w:t xml:space="preserve">Starts</w:t>
            </w:r>
          </w:p>
        </w:tc>
      </w:tr>
      <w:tr>
        <w:tc>
          <w:tcPr>
            <w:tcW w:w="1872" w:type="dxa"/>
          </w:tcPr>
          <w:p>
            <w:pPr/>
            <w:r>
              <w:t xml:space="preserve">Founders</w:t>
            </w:r>
          </w:p>
        </w:tc>
        <w:tc>
          <w:tcPr>
            <w:tcW w:w="1872" w:type="dxa"/>
          </w:tcPr>
          <w:p>
            <w:pPr/>
            <w:r>
              <w:t xml:space="preserve">48 months</w:t>
            </w:r>
          </w:p>
        </w:tc>
        <w:tc>
          <w:tcPr>
            <w:tcW w:w="1872" w:type="dxa"/>
          </w:tcPr>
          <w:p>
            <w:pPr/>
            <w:r>
              <w:t xml:space="preserve">12 months (25% vests)</w:t>
            </w:r>
          </w:p>
        </w:tc>
        <w:tc>
          <w:tcPr>
            <w:tcW w:w="1872" w:type="dxa"/>
          </w:tcPr>
          <w:p>
            <w:pPr/>
            <w:r>
              <w:t xml:space="preserve">Monthly</w:t>
            </w:r>
          </w:p>
        </w:tc>
        <w:tc>
          <w:tcPr>
            <w:tcW w:w="1872" w:type="dxa"/>
          </w:tcPr>
          <w:p>
            <w:pPr/>
            <w:r>
              <w:t xml:space="preserve">Effective Date, 02 Oct 2026</w:t>
            </w:r>
          </w:p>
        </w:tc>
      </w:tr>
      <w:tr>
        <w:tc>
          <w:tcPr>
            <w:tcW w:w="1872" w:type="dxa"/>
          </w:tcPr>
          <w:p>
            <w:pPr/>
            <w:r>
              <w:t xml:space="preserve">Core Team</w:t>
            </w:r>
          </w:p>
        </w:tc>
        <w:tc>
          <w:tcPr>
            <w:tcW w:w="1872" w:type="dxa"/>
          </w:tcPr>
          <w:p>
            <w:pPr/>
            <w:r>
              <w:t xml:space="preserve">48 months</w:t>
            </w:r>
          </w:p>
        </w:tc>
        <w:tc>
          <w:tcPr>
            <w:tcW w:w="1872" w:type="dxa"/>
          </w:tcPr>
          <w:p>
            <w:pPr/>
            <w:r>
              <w:t xml:space="preserve">6 months (12.5% vests)</w:t>
            </w:r>
          </w:p>
        </w:tc>
        <w:tc>
          <w:tcPr>
            <w:tcW w:w="1872" w:type="dxa"/>
          </w:tcPr>
          <w:p>
            <w:pPr/>
            <w:r>
              <w:t xml:space="preserve">Monthly</w:t>
            </w:r>
          </w:p>
        </w:tc>
        <w:tc>
          <w:tcPr>
            <w:tcW w:w="1872" w:type="dxa"/>
          </w:tcPr>
          <w:p>
            <w:pPr/>
            <w:r>
              <w:t xml:space="preserve">Date active contribution began, recorded in MOU Schedule A</w:t>
            </w:r>
          </w:p>
        </w:tc>
      </w:tr>
      <w:tr>
        <w:tc>
          <w:tcPr>
            <w:tcW w:w="1872" w:type="dxa"/>
          </w:tcPr>
          <w:p>
            <w:pPr/>
            <w:r>
              <w:t xml:space="preserve">Adviser</w:t>
            </w:r>
          </w:p>
        </w:tc>
        <w:tc>
          <w:tcPr>
            <w:tcW w:w="1872" w:type="dxa"/>
          </w:tcPr>
          <w:p>
            <w:pPr/>
            <w:r>
              <w:t xml:space="preserve">24 months</w:t>
            </w:r>
          </w:p>
        </w:tc>
        <w:tc>
          <w:tcPr>
            <w:tcW w:w="1872" w:type="dxa"/>
          </w:tcPr>
          <w:p>
            <w:pPr/>
            <w:r>
              <w:t xml:space="preserve">3 months (12.5% vests)</w:t>
            </w:r>
          </w:p>
        </w:tc>
        <w:tc>
          <w:tcPr>
            <w:tcW w:w="1872" w:type="dxa"/>
          </w:tcPr>
          <w:p>
            <w:pPr/>
            <w:r>
              <w:t xml:space="preserve">Monthly</w:t>
            </w:r>
          </w:p>
        </w:tc>
        <w:tc>
          <w:tcPr>
            <w:tcW w:w="1872" w:type="dxa"/>
          </w:tcPr>
          <w:p>
            <w:pPr/>
            <w:r>
              <w:t xml:space="preserve">Date of the Adviser Agreement</w:t>
            </w:r>
          </w:p>
        </w:tc>
      </w:tr>
      <w:tr>
        <w:tc>
          <w:tcPr>
            <w:tcW w:w="1872" w:type="dxa"/>
          </w:tcPr>
          <w:p>
            <w:pPr/>
            <w:r>
              <w:t xml:space="preserve">IP Contribution Shares (5)</w:t>
            </w:r>
          </w:p>
        </w:tc>
        <w:tc>
          <w:tcPr>
            <w:tcW w:w="1872" w:type="dxa"/>
          </w:tcPr>
          <w:p>
            <w:pPr/>
            <w:r>
              <w:t xml:space="preserve">Vested on completion of the IP Contribution Deed</w:t>
            </w:r>
          </w:p>
        </w:tc>
        <w:tc>
          <w:tcPr>
            <w:tcW w:w="1872" w:type="dxa"/>
          </w:tcPr>
          <w:p>
            <w:pPr/>
            <w:r>
              <w:t xml:space="preserve">None</w:t>
            </w:r>
          </w:p>
        </w:tc>
        <w:tc>
          <w:tcPr>
            <w:tcW w:w="1872" w:type="dxa"/>
          </w:tcPr>
          <w:p>
            <w:pPr/>
            <w:r>
              <w:t xml:space="preserve">None</w:t>
            </w:r>
          </w:p>
        </w:tc>
        <w:tc>
          <w:tcPr>
            <w:tcW w:w="1872" w:type="dxa"/>
          </w:tcPr>
          <w:p>
            <w:pPr/>
            <w:r>
              <w:t xml:space="preserve">Consideration for the IP; repurchasable only if the IP warranties prove false</w:t>
            </w:r>
          </w:p>
        </w:tc>
      </w:tr>
    </w:tbl>
    <w:p>
      <w:pPr/>
      <w:r>
        <w:rPr>
          <w:b/>
        </w:rPr>
        <w:t xml:space="preserve">Contribution Standard.</w:t>
      </w:r>
      <w:r>
        <w:t xml:space="preserve"> A month vests only if the holder met the standard for their seat (MOU Schedule B) or had approved leave. A missed month pauses; both founders may restore it in writing.</w:t>
      </w:r>
    </w:p>
    <w:p>
      <w:pPr/>
      <w:r>
        <w:rPr>
          <w:b/>
        </w:rPr>
        <w:t xml:space="preserve">Leaver types</w:t>
      </w:r>
    </w:p>
    <w:p>
      <w:pPr>
        <w:pStyle w:val="ListParagraph"/>
        <w:numPr>
          <w:ilvl w:val="0"/>
          <w:numId w:val="3"/>
        </w:numPr>
      </w:pPr>
      <w:r>
        <w:rPr>
          <w:b/>
        </w:rPr>
        <w:t xml:space="preserve">Good Leaver:</w:t>
      </w:r>
      <w:r>
        <w:t xml:space="preserve"> death, permanent incapacity, an exit agreed in writing, a written study or relocation arrangement, or removal without Cause. Keeps vested shares; unvested shares are repurchased at nominal value.</w:t>
      </w:r>
    </w:p>
    <w:p>
      <w:pPr>
        <w:pStyle w:val="ListParagraph"/>
        <w:numPr>
          <w:ilvl w:val="0"/>
          <w:numId w:val="3"/>
        </w:numPr>
      </w:pPr>
      <w:r>
        <w:rPr>
          <w:b/>
        </w:rPr>
        <w:t xml:space="preserve">Neutral Leaver:</w:t>
      </w:r>
      <w:r>
        <w:t xml:space="preserve"> voluntary resignation not agreed in advance. Keeps vested shares; unvested lapse; the Company has a call option on vested shares at Fair Value for 12 months.</w:t>
      </w:r>
    </w:p>
    <w:p>
      <w:pPr>
        <w:pStyle w:val="ListParagraph"/>
        <w:numPr>
          <w:ilvl w:val="0"/>
          <w:numId w:val="3"/>
        </w:numPr>
      </w:pPr>
      <w:r>
        <w:rPr>
          <w:b/>
        </w:rPr>
        <w:t xml:space="preserve">Bad Leaver:</w:t>
      </w:r>
      <w:r>
        <w:t xml:space="preserve"> Cause means fraud, theft, serious misconduct, material breach of confidentiality or IP duties, breach of the non-compete, or deliberate falsification such as plagiarism or fabrication in a submission. Unvested shares lapse and the Company may buy vested shares at the lower of nominal value and Fair Value. Counsel must confirm this is enforceable as drafted.</w:t>
      </w:r>
    </w:p>
    <w:p>
      <w:pPr>
        <w:pStyle w:val="ListParagraph"/>
        <w:numPr>
          <w:ilvl w:val="0"/>
          <w:numId w:val="3"/>
        </w:numPr>
      </w:pPr>
      <w:r>
        <w:rPr>
          <w:b/>
        </w:rPr>
        <w:t xml:space="preserve">Fair Value:</w:t>
      </w:r>
      <w:r>
        <w:t xml:space="preserve"> agreed between the parties, failing which set by an independent accountant chosen by the Adviser or the mediator, with no minority discount.</w:t>
      </w:r>
    </w:p>
    <w:p>
      <w:pPr>
        <w:pStyle w:val="ListParagraph"/>
        <w:numPr>
          <w:ilvl w:val="0"/>
          <w:numId w:val="3"/>
        </w:numPr>
      </w:pPr>
      <w:r>
        <w:rPr>
          <w:b/>
        </w:rPr>
        <w:t xml:space="preserve">Sale of the Company:</w:t>
      </w:r>
      <w:r>
        <w:t xml:space="preserve"> no acceleration on an investment round. On a sale, 50% of unvested founder and Core Team shares vest if the holder is terminated without Cause within 12 months afterwards (counsel to confirm).</w:t>
      </w:r>
    </w:p>
    <w:p>
      <w:pPr/>
      <w:r>
        <w:rPr>
          <w:b/>
        </w:rPr>
        <w:t xml:space="preserve">Mechanism.</w:t>
      </w:r>
      <w:r>
        <w:t xml:space="preserve"> Recommended: allot shares at the start subject to a Company repurchase right that lapses monthly (reverse vesting), so holders have rights from day one. The alternative is share options. Counsel and a tax adviser should choose, because allotting shares for services can create a taxable benefit.</w:t>
      </w:r>
    </w:p>
    <w:p>
      <w:pPr>
        <w:pStyle w:val="Heading2"/>
      </w:pPr>
      <w:r>
        <w:t xml:space="preserve">5. Dilution at pre-seed</w:t>
      </w:r>
    </w:p>
    <w:p>
      <w:pPr/>
      <w:r>
        <w:t xml:space="preserve">Fully diluted ownership if one pre-seed investor takes 10%, 15% or 20% post-money and the reserve is unchanged: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Holder</w:t>
            </w:r>
          </w:p>
        </w:tc>
        <w:tc>
          <w:tcPr>
            <w:tcW w:w="1872" w:type="dxa"/>
            <w:shd w:val="clear" w:color="auto" w:fill="F2F2F2"/>
          </w:tcPr>
          <w:p>
            <w:pPr/>
            <w:r>
              <w:t xml:space="preserve">Day 1</w:t>
            </w:r>
          </w:p>
        </w:tc>
        <w:tc>
          <w:tcPr>
            <w:tcW w:w="1872" w:type="dxa"/>
            <w:shd w:val="clear" w:color="auto" w:fill="F2F2F2"/>
          </w:tcPr>
          <w:p>
            <w:pPr/>
            <w:r>
              <w:t xml:space="preserve">10% round</w:t>
            </w:r>
          </w:p>
        </w:tc>
        <w:tc>
          <w:tcPr>
            <w:tcW w:w="1872" w:type="dxa"/>
            <w:shd w:val="clear" w:color="auto" w:fill="F2F2F2"/>
          </w:tcPr>
          <w:p>
            <w:pPr/>
            <w:r>
              <w:t xml:space="preserve">15% round</w:t>
            </w:r>
          </w:p>
        </w:tc>
        <w:tc>
          <w:tcPr>
            <w:tcW w:w="1872" w:type="dxa"/>
            <w:shd w:val="clear" w:color="auto" w:fill="F2F2F2"/>
          </w:tcPr>
          <w:p>
            <w:pPr/>
            <w:r>
              <w:t xml:space="preserve">20% round</w:t>
            </w:r>
          </w:p>
        </w:tc>
      </w:tr>
      <w:tr>
        <w:tc>
          <w:tcPr>
            <w:tcW w:w="1872" w:type="dxa"/>
          </w:tcPr>
          <w:p>
            <w:pPr/>
            <w:r>
              <w:t xml:space="preserve">Garba</w:t>
            </w:r>
          </w:p>
        </w:tc>
        <w:tc>
          <w:tcPr>
            <w:tcW w:w="1872" w:type="dxa"/>
          </w:tcPr>
          <w:p>
            <w:pPr/>
            <w:r>
              <w:t xml:space="preserve">35.0</w:t>
            </w:r>
          </w:p>
        </w:tc>
        <w:tc>
          <w:tcPr>
            <w:tcW w:w="1872" w:type="dxa"/>
          </w:tcPr>
          <w:p>
            <w:pPr/>
            <w:r>
              <w:t xml:space="preserve">31.5</w:t>
            </w:r>
          </w:p>
        </w:tc>
        <w:tc>
          <w:tcPr>
            <w:tcW w:w="1872" w:type="dxa"/>
          </w:tcPr>
          <w:p>
            <w:pPr/>
            <w:r>
              <w:t xml:space="preserve">29.75</w:t>
            </w:r>
          </w:p>
        </w:tc>
        <w:tc>
          <w:tcPr>
            <w:tcW w:w="1872" w:type="dxa"/>
          </w:tcPr>
          <w:p>
            <w:pPr/>
            <w:r>
              <w:t xml:space="preserve">28.0</w:t>
            </w:r>
          </w:p>
        </w:tc>
      </w:tr>
      <w:tr>
        <w:tc>
          <w:tcPr>
            <w:tcW w:w="1872" w:type="dxa"/>
          </w:tcPr>
          <w:p>
            <w:pPr/>
            <w:r>
              <w:t xml:space="preserve">Frances</w:t>
            </w:r>
          </w:p>
        </w:tc>
        <w:tc>
          <w:tcPr>
            <w:tcW w:w="1872" w:type="dxa"/>
          </w:tcPr>
          <w:p>
            <w:pPr/>
            <w:r>
              <w:t xml:space="preserve">30.0</w:t>
            </w:r>
          </w:p>
        </w:tc>
        <w:tc>
          <w:tcPr>
            <w:tcW w:w="1872" w:type="dxa"/>
          </w:tcPr>
          <w:p>
            <w:pPr/>
            <w:r>
              <w:t xml:space="preserve">27.0</w:t>
            </w:r>
          </w:p>
        </w:tc>
        <w:tc>
          <w:tcPr>
            <w:tcW w:w="1872" w:type="dxa"/>
          </w:tcPr>
          <w:p>
            <w:pPr/>
            <w:r>
              <w:t xml:space="preserve">25.5</w:t>
            </w:r>
          </w:p>
        </w:tc>
        <w:tc>
          <w:tcPr>
            <w:tcW w:w="1872" w:type="dxa"/>
          </w:tcPr>
          <w:p>
            <w:pPr/>
            <w:r>
              <w:t xml:space="preserve">24.0</w:t>
            </w:r>
          </w:p>
        </w:tc>
      </w:tr>
      <w:tr>
        <w:tc>
          <w:tcPr>
            <w:tcW w:w="1872" w:type="dxa"/>
          </w:tcPr>
          <w:p>
            <w:pPr/>
            <w:r>
              <w:t xml:space="preserve">Each Core Team member (4)</w:t>
            </w:r>
          </w:p>
        </w:tc>
        <w:tc>
          <w:tcPr>
            <w:tcW w:w="1872" w:type="dxa"/>
          </w:tcPr>
          <w:p>
            <w:pPr/>
            <w:r>
              <w:t xml:space="preserve">4.5</w:t>
            </w:r>
          </w:p>
        </w:tc>
        <w:tc>
          <w:tcPr>
            <w:tcW w:w="1872" w:type="dxa"/>
          </w:tcPr>
          <w:p>
            <w:pPr/>
            <w:r>
              <w:t xml:space="preserve">4.05</w:t>
            </w:r>
          </w:p>
        </w:tc>
        <w:tc>
          <w:tcPr>
            <w:tcW w:w="1872" w:type="dxa"/>
          </w:tcPr>
          <w:p>
            <w:pPr/>
            <w:r>
              <w:t xml:space="preserve">3.825</w:t>
            </w:r>
          </w:p>
        </w:tc>
        <w:tc>
          <w:tcPr>
            <w:tcW w:w="1872" w:type="dxa"/>
          </w:tcPr>
          <w:p>
            <w:pPr/>
            <w:r>
              <w:t xml:space="preserve">3.6</w:t>
            </w:r>
          </w:p>
        </w:tc>
      </w:tr>
      <w:tr>
        <w:tc>
          <w:tcPr>
            <w:tcW w:w="1872" w:type="dxa"/>
          </w:tcPr>
          <w:p>
            <w:pPr/>
            <w:r>
              <w:t xml:space="preserve">Core Team total</w:t>
            </w:r>
          </w:p>
        </w:tc>
        <w:tc>
          <w:tcPr>
            <w:tcW w:w="1872" w:type="dxa"/>
          </w:tcPr>
          <w:p>
            <w:pPr/>
            <w:r>
              <w:t xml:space="preserve">18.0</w:t>
            </w:r>
          </w:p>
        </w:tc>
        <w:tc>
          <w:tcPr>
            <w:tcW w:w="1872" w:type="dxa"/>
          </w:tcPr>
          <w:p>
            <w:pPr/>
            <w:r>
              <w:t xml:space="preserve">16.2</w:t>
            </w:r>
          </w:p>
        </w:tc>
        <w:tc>
          <w:tcPr>
            <w:tcW w:w="1872" w:type="dxa"/>
          </w:tcPr>
          <w:p>
            <w:pPr/>
            <w:r>
              <w:t xml:space="preserve">15.3</w:t>
            </w:r>
          </w:p>
        </w:tc>
        <w:tc>
          <w:tcPr>
            <w:tcW w:w="1872" w:type="dxa"/>
          </w:tcPr>
          <w:p>
            <w:pPr/>
            <w:r>
              <w:t xml:space="preserve">14.4</w:t>
            </w:r>
          </w:p>
        </w:tc>
      </w:tr>
      <w:tr>
        <w:tc>
          <w:tcPr>
            <w:tcW w:w="1872" w:type="dxa"/>
          </w:tcPr>
          <w:p>
            <w:pPr/>
            <w:r>
              <w:t xml:space="preserve">Adviser</w:t>
            </w:r>
          </w:p>
        </w:tc>
        <w:tc>
          <w:tcPr>
            <w:tcW w:w="1872" w:type="dxa"/>
          </w:tcPr>
          <w:p>
            <w:pPr/>
            <w:r>
              <w:t xml:space="preserve">1.0</w:t>
            </w:r>
          </w:p>
        </w:tc>
        <w:tc>
          <w:tcPr>
            <w:tcW w:w="1872" w:type="dxa"/>
          </w:tcPr>
          <w:p>
            <w:pPr/>
            <w:r>
              <w:t xml:space="preserve">0.9</w:t>
            </w:r>
          </w:p>
        </w:tc>
        <w:tc>
          <w:tcPr>
            <w:tcW w:w="1872" w:type="dxa"/>
          </w:tcPr>
          <w:p>
            <w:pPr/>
            <w:r>
              <w:t xml:space="preserve">0.85</w:t>
            </w:r>
          </w:p>
        </w:tc>
        <w:tc>
          <w:tcPr>
            <w:tcW w:w="1872" w:type="dxa"/>
          </w:tcPr>
          <w:p>
            <w:pPr/>
            <w:r>
              <w:t xml:space="preserve">0.8</w:t>
            </w:r>
          </w:p>
        </w:tc>
      </w:tr>
      <w:tr>
        <w:tc>
          <w:tcPr>
            <w:tcW w:w="1872" w:type="dxa"/>
          </w:tcPr>
          <w:p>
            <w:pPr/>
            <w:r>
              <w:t xml:space="preserve">Reserve</w:t>
            </w:r>
          </w:p>
        </w:tc>
        <w:tc>
          <w:tcPr>
            <w:tcW w:w="1872" w:type="dxa"/>
          </w:tcPr>
          <w:p>
            <w:pPr/>
            <w:r>
              <w:t xml:space="preserve">16.0</w:t>
            </w:r>
          </w:p>
        </w:tc>
        <w:tc>
          <w:tcPr>
            <w:tcW w:w="1872" w:type="dxa"/>
          </w:tcPr>
          <w:p>
            <w:pPr/>
            <w:r>
              <w:t xml:space="preserve">14.4</w:t>
            </w:r>
          </w:p>
        </w:tc>
        <w:tc>
          <w:tcPr>
            <w:tcW w:w="1872" w:type="dxa"/>
          </w:tcPr>
          <w:p>
            <w:pPr/>
            <w:r>
              <w:t xml:space="preserve">13.6</w:t>
            </w:r>
          </w:p>
        </w:tc>
        <w:tc>
          <w:tcPr>
            <w:tcW w:w="1872" w:type="dxa"/>
          </w:tcPr>
          <w:p>
            <w:pPr/>
            <w:r>
              <w:t xml:space="preserve">12.8</w:t>
            </w:r>
          </w:p>
        </w:tc>
      </w:tr>
      <w:tr>
        <w:tc>
          <w:tcPr>
            <w:tcW w:w="1872" w:type="dxa"/>
          </w:tcPr>
          <w:p>
            <w:pPr/>
            <w:r>
              <w:t xml:space="preserve">Investor</w:t>
            </w:r>
          </w:p>
        </w:tc>
        <w:tc>
          <w:tcPr>
            <w:tcW w:w="1872" w:type="dxa"/>
          </w:tcPr>
          <w:p>
            <w:pPr/>
            <w:r>
              <w:t xml:space="preserve">0</w:t>
            </w:r>
          </w:p>
        </w:tc>
        <w:tc>
          <w:tcPr>
            <w:tcW w:w="1872" w:type="dxa"/>
          </w:tcPr>
          <w:p>
            <w:pPr/>
            <w:r>
              <w:t xml:space="preserve">10.0</w:t>
            </w:r>
          </w:p>
        </w:tc>
        <w:tc>
          <w:tcPr>
            <w:tcW w:w="1872" w:type="dxa"/>
          </w:tcPr>
          <w:p>
            <w:pPr/>
            <w:r>
              <w:t xml:space="preserve">15.0</w:t>
            </w:r>
          </w:p>
        </w:tc>
        <w:tc>
          <w:tcPr>
            <w:tcW w:w="1872" w:type="dxa"/>
          </w:tcPr>
          <w:p>
            <w:pPr/>
            <w:r>
              <w:t xml:space="preserve">20.0</w:t>
            </w:r>
          </w:p>
        </w:tc>
      </w:tr>
      <w:tr>
        <w:tc>
          <w:tcPr>
            <w:tcW w:w="1872" w:type="dxa"/>
          </w:tcPr>
          <w:p>
            <w:pPr/>
            <w:r>
              <w:rPr>
                <w:b/>
              </w:rPr>
              <w:t xml:space="preserve">Total</w:t>
            </w:r>
          </w:p>
        </w:tc>
        <w:tc>
          <w:tcPr>
            <w:tcW w:w="1872" w:type="dxa"/>
          </w:tcPr>
          <w:p>
            <w:pPr/>
            <w:r>
              <w:t xml:space="preserve">100</w:t>
            </w:r>
          </w:p>
        </w:tc>
        <w:tc>
          <w:tcPr>
            <w:tcW w:w="1872" w:type="dxa"/>
          </w:tcPr>
          <w:p>
            <w:pPr/>
            <w:r>
              <w:t xml:space="preserve">100</w:t>
            </w:r>
          </w:p>
        </w:tc>
        <w:tc>
          <w:tcPr>
            <w:tcW w:w="1872" w:type="dxa"/>
          </w:tcPr>
          <w:p>
            <w:pPr/>
            <w:r>
              <w:t xml:space="preserve">100</w:t>
            </w:r>
          </w:p>
        </w:tc>
        <w:tc>
          <w:tcPr>
            <w:tcW w:w="1872" w:type="dxa"/>
          </w:tcPr>
          <w:p>
            <w:pPr/>
            <w:r>
              <w:t xml:space="preserve">100</w:t>
            </w:r>
          </w:p>
        </w:tc>
      </w:tr>
    </w:tbl>
    <w:p>
      <w:pPr/>
      <w:r>
        <w:t xml:space="preserve">Investors often ask for the pool to be topped up before they invest, which dilutes existing holders, not the investor. Plan for that. Foreign investors also change the capital and approval picture (Playbook §9); treat any foreign money as a reserved matter.</w:t>
      </w:r>
    </w:p>
    <w:p>
      <w:pPr>
        <w:pStyle w:val="Heading2"/>
      </w:pPr>
      <w:r>
        <w:t xml:space="preserve">6. After incorporation: dividends and reserves</w:t>
      </w:r>
    </w:p>
    <w:p>
      <w:pPr>
        <w:pStyle w:val="ListParagraph"/>
        <w:numPr>
          <w:ilvl w:val="0"/>
          <w:numId w:val="4"/>
        </w:numPr>
      </w:pPr>
      <w:r>
        <w:rPr>
          <w:b/>
        </w:rPr>
        <w:t xml:space="preserve">Cash follows shareholding.</w:t>
      </w:r>
      <w:r>
        <w:t xml:space="preserve"> Dividends are paid pro rata to shares, only when declared by the board with both founders’ approval.</w:t>
      </w:r>
    </w:p>
    <w:p>
      <w:pPr>
        <w:pStyle w:val="ListParagraph"/>
        <w:numPr>
          <w:ilvl w:val="0"/>
          <w:numId w:val="4"/>
        </w:numPr>
      </w:pPr>
      <w:r>
        <w:rPr>
          <w:b/>
        </w:rPr>
        <w:t xml:space="preserve">Treasury-first, in the articles:</w:t>
      </w:r>
      <w:r>
        <w:t xml:space="preserve"> the Company retains at least 70% of annual distributable profit as reserves until a funding round closes or both founders agree otherwise. This carries your treasury principle into the company’s own rules.</w:t>
      </w:r>
    </w:p>
    <w:p>
      <w:pPr>
        <w:pStyle w:val="ListParagraph"/>
        <w:numPr>
          <w:ilvl w:val="0"/>
          <w:numId w:val="4"/>
        </w:numPr>
      </w:pPr>
      <w:r>
        <w:rPr>
          <w:b/>
        </w:rPr>
        <w:t xml:space="preserve">Founder pay:</w:t>
      </w:r>
      <w:r>
        <w:t xml:space="preserve"> none until funding. After funding, a stipend set by the board with the Adviser’s written input.</w:t>
      </w:r>
    </w:p>
    <w:p>
      <w:pPr>
        <w:pStyle w:val="Heading2"/>
      </w:pPr>
      <w:r>
        <w:t xml:space="preserve">7. Founders’ split scorecard (use before filing at CAC)</w:t>
      </w:r>
    </w:p>
    <w:p>
      <w:pPr/>
      <w:r>
        <w:t xml:space="preserve">Your sample splits the founders equally. Stated weekly availability and pre-incorporation work differ between you. Equal can still be right, but decide it on evidence. Each founder scores both of you, independently and in writing, from 0 to 10 per criterion; then compare, discuss every gap of 3 points or more, and agree a score.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Criterion</w:t>
            </w:r>
          </w:p>
        </w:tc>
        <w:tc>
          <w:tcPr>
            <w:tcW w:w="2340" w:type="dxa"/>
            <w:shd w:val="clear" w:color="auto" w:fill="F2F2F2"/>
          </w:tcPr>
          <w:p>
            <w:pPr/>
            <w:r>
              <w:t xml:space="preserve">Weight</w:t>
            </w:r>
          </w:p>
        </w:tc>
        <w:tc>
          <w:tcPr>
            <w:tcW w:w="2340" w:type="dxa"/>
            <w:shd w:val="clear" w:color="auto" w:fill="F2F2F2"/>
          </w:tcPr>
          <w:p>
            <w:pPr/>
            <w:r>
              <w:t xml:space="preserve">Garba</w:t>
            </w:r>
          </w:p>
        </w:tc>
        <w:tc>
          <w:tcPr>
            <w:tcW w:w="2340" w:type="dxa"/>
            <w:shd w:val="clear" w:color="auto" w:fill="F2F2F2"/>
          </w:tcPr>
          <w:p>
            <w:pPr/>
            <w:r>
              <w:t xml:space="preserve">Frances</w:t>
            </w:r>
          </w:p>
        </w:tc>
      </w:tr>
      <w:tr>
        <w:tc>
          <w:tcPr>
            <w:tcW w:w="2340" w:type="dxa"/>
          </w:tcPr>
          <w:p>
            <w:pPr/>
            <w:r>
              <w:t xml:space="preserve">Weekly time committed over the next 12 months</w:t>
            </w:r>
          </w:p>
        </w:tc>
        <w:tc>
          <w:tcPr>
            <w:tcW w:w="2340" w:type="dxa"/>
          </w:tcPr>
          <w:p>
            <w:pPr/>
            <w:r>
              <w:t xml:space="preserve">25%</w:t>
            </w:r>
          </w:p>
        </w:tc>
        <w:tc>
          <w:tcPr>
            <w:tcW w:w="2340" w:type="dxa"/>
          </w:tcPr>
          <w:p>
            <w:pPr/>
          </w:p>
        </w:tc>
        <w:tc>
          <w:tcPr>
            <w:tcW w:w="2340" w:type="dxa"/>
          </w:tcPr>
          <w:p>
            <w:pPr/>
          </w:p>
        </w:tc>
      </w:tr>
      <w:tr>
        <w:tc>
          <w:tcPr>
            <w:tcW w:w="2340" w:type="dxa"/>
          </w:tcPr>
          <w:p>
            <w:pPr/>
            <w:r>
              <w:t xml:space="preserve">Product and IP delivered before incorporation</w:t>
            </w:r>
          </w:p>
        </w:tc>
        <w:tc>
          <w:tcPr>
            <w:tcW w:w="2340" w:type="dxa"/>
          </w:tcPr>
          <w:p>
            <w:pPr/>
            <w:r>
              <w:t xml:space="preserve">20%</w:t>
            </w:r>
          </w:p>
        </w:tc>
        <w:tc>
          <w:tcPr>
            <w:tcW w:w="2340" w:type="dxa"/>
          </w:tcPr>
          <w:p>
            <w:pPr/>
          </w:p>
        </w:tc>
        <w:tc>
          <w:tcPr>
            <w:tcW w:w="2340" w:type="dxa"/>
          </w:tcPr>
          <w:p>
            <w:pPr/>
          </w:p>
        </w:tc>
      </w:tr>
      <w:tr>
        <w:tc>
          <w:tcPr>
            <w:tcW w:w="2340" w:type="dxa"/>
          </w:tcPr>
          <w:p>
            <w:pPr/>
            <w:r>
              <w:t xml:space="preserve">Role responsibility and risk</w:t>
            </w:r>
          </w:p>
        </w:tc>
        <w:tc>
          <w:tcPr>
            <w:tcW w:w="2340" w:type="dxa"/>
          </w:tcPr>
          <w:p>
            <w:pPr/>
            <w:r>
              <w:t xml:space="preserve">15%</w:t>
            </w:r>
          </w:p>
        </w:tc>
        <w:tc>
          <w:tcPr>
            <w:tcW w:w="2340" w:type="dxa"/>
          </w:tcPr>
          <w:p>
            <w:pPr/>
          </w:p>
        </w:tc>
        <w:tc>
          <w:tcPr>
            <w:tcW w:w="2340" w:type="dxa"/>
          </w:tcPr>
          <w:p>
            <w:pPr/>
          </w:p>
        </w:tc>
      </w:tr>
      <w:tr>
        <w:tc>
          <w:tcPr>
            <w:tcW w:w="2340" w:type="dxa"/>
          </w:tcPr>
          <w:p>
            <w:pPr/>
            <w:r>
              <w:t xml:space="preserve">Cash or assets contributed</w:t>
            </w:r>
          </w:p>
        </w:tc>
        <w:tc>
          <w:tcPr>
            <w:tcW w:w="2340" w:type="dxa"/>
          </w:tcPr>
          <w:p>
            <w:pPr/>
            <w:r>
              <w:t xml:space="preserve">15%</w:t>
            </w:r>
          </w:p>
        </w:tc>
        <w:tc>
          <w:tcPr>
            <w:tcW w:w="2340" w:type="dxa"/>
          </w:tcPr>
          <w:p>
            <w:pPr/>
          </w:p>
        </w:tc>
        <w:tc>
          <w:tcPr>
            <w:tcW w:w="2340" w:type="dxa"/>
          </w:tcPr>
          <w:p>
            <w:pPr/>
          </w:p>
        </w:tc>
      </w:tr>
      <w:tr>
        <w:tc>
          <w:tcPr>
            <w:tcW w:w="2340" w:type="dxa"/>
          </w:tcPr>
          <w:p>
            <w:pPr/>
            <w:r>
              <w:t xml:space="preserve">Domain expertise and network</w:t>
            </w:r>
          </w:p>
        </w:tc>
        <w:tc>
          <w:tcPr>
            <w:tcW w:w="2340" w:type="dxa"/>
          </w:tcPr>
          <w:p>
            <w:pPr/>
            <w:r>
              <w:t xml:space="preserve">15%</w:t>
            </w:r>
          </w:p>
        </w:tc>
        <w:tc>
          <w:tcPr>
            <w:tcW w:w="2340" w:type="dxa"/>
          </w:tcPr>
          <w:p>
            <w:pPr/>
          </w:p>
        </w:tc>
        <w:tc>
          <w:tcPr>
            <w:tcW w:w="2340" w:type="dxa"/>
          </w:tcPr>
          <w:p>
            <w:pPr/>
          </w:p>
        </w:tc>
      </w:tr>
      <w:tr>
        <w:tc>
          <w:tcPr>
            <w:tcW w:w="2340" w:type="dxa"/>
          </w:tcPr>
          <w:p>
            <w:pPr/>
            <w:r>
              <w:t xml:space="preserve">Opportunity cost (full-time vs studying)</w:t>
            </w:r>
          </w:p>
        </w:tc>
        <w:tc>
          <w:tcPr>
            <w:tcW w:w="2340" w:type="dxa"/>
          </w:tcPr>
          <w:p>
            <w:pPr/>
            <w:r>
              <w:t xml:space="preserve">10%</w:t>
            </w:r>
          </w:p>
        </w:tc>
        <w:tc>
          <w:tcPr>
            <w:tcW w:w="2340" w:type="dxa"/>
          </w:tcPr>
          <w:p>
            <w:pPr/>
          </w:p>
        </w:tc>
        <w:tc>
          <w:tcPr>
            <w:tcW w:w="2340" w:type="dxa"/>
          </w:tcPr>
          <w:p>
            <w:pPr/>
          </w:p>
        </w:tc>
      </w:tr>
    </w:tbl>
    <w:p>
      <w:pPr/>
      <w:r>
        <w:t xml:space="preserve">Turn the weighted totals into shares of the 65-point founders’ block. Use </w:t>
      </w:r>
      <w:r>
        <w:rPr>
          <w:b/>
        </w:rPr>
        <w:t xml:space="preserve">one method, not both</w:t>
      </w:r>
      <w:r>
        <w:t xml:space="preserve">: either this scorecard, or an equal base plus the 5-point IP premium. If the scorecard lands within 10% of equal, split equally and treat the IP separately through the IP Contribution Deed.</w:t>
      </w:r>
    </w:p>
    <w:p>
      <w:pPr>
        <w:pStyle w:val="Heading2"/>
      </w:pPr>
      <w:r>
        <w:t xml:space="preserve">8. Mechanics at CAC (for counsel)</w:t>
      </w:r>
    </w:p>
    <w:p>
      <w:pPr>
        <w:pStyle w:val="ListParagraph"/>
        <w:numPr>
          <w:ilvl w:val="0"/>
          <w:numId w:val="5"/>
        </w:numPr>
      </w:pPr>
      <w:r>
        <w:rPr>
          <w:b/>
        </w:rPr>
        <w:t xml:space="preserve">Company:</w:t>
      </w:r>
      <w:r>
        <w:t xml:space="preserve"> private company limited by shares. Issued share capital must meet the statutory minimum (₦100,000 for a private company), and companies with foreign participation face a far higher practical minimum.</w:t>
      </w:r>
    </w:p>
    <w:p>
      <w:pPr>
        <w:pStyle w:val="ListParagraph"/>
        <w:numPr>
          <w:ilvl w:val="0"/>
          <w:numId w:val="5"/>
        </w:numPr>
      </w:pPr>
      <w:r>
        <w:rPr>
          <w:b/>
        </w:rPr>
        <w:t xml:space="preserve">Subscribers:</w:t>
      </w:r>
      <w:r>
        <w:t xml:space="preserve"> the founders, after the Founders’ Agreement and the IP Contribution Deed are executed. Consideration for founder shares: the IP, services and any cash as agreed.</w:t>
      </w:r>
    </w:p>
    <w:p>
      <w:pPr>
        <w:pStyle w:val="ListParagraph"/>
        <w:numPr>
          <w:ilvl w:val="0"/>
          <w:numId w:val="5"/>
        </w:numPr>
      </w:pPr>
      <w:r>
        <w:rPr>
          <w:b/>
        </w:rPr>
        <w:t xml:space="preserve">After incorporation:</w:t>
      </w:r>
      <w:r>
        <w:t xml:space="preserve"> board resolution; allotment to the Core Team and Adviser with reverse-vesting agreements; stamp duty; CAC allotment filings; update the register of members; persons-with-significant-control filings where required.</w:t>
      </w:r>
    </w:p>
    <w:p>
      <w:pPr>
        <w:pStyle w:val="ListParagraph"/>
        <w:numPr>
          <w:ilvl w:val="0"/>
          <w:numId w:val="5"/>
        </w:numPr>
      </w:pPr>
      <w:r>
        <w:rPr>
          <w:b/>
        </w:rPr>
        <w:t xml:space="preserve">Reserve:</w:t>
      </w:r>
      <w:r>
        <w:t xml:space="preserve"> authorised but unissued shares.</w:t>
      </w:r>
    </w:p>
    <w:p>
      <w:pPr>
        <w:pStyle w:val="ListParagraph"/>
        <w:numPr>
          <w:ilvl w:val="0"/>
          <w:numId w:val="5"/>
        </w:numPr>
      </w:pPr>
      <w:r>
        <w:rPr>
          <w:b/>
        </w:rPr>
        <w:t xml:space="preserve">Articles must carry:</w:t>
      </w:r>
      <w:r>
        <w:t xml:space="preserve"> transfer restrictions, pre-emption, drag and tag, leaver call options, the reserved-matters list, the deadlock clause, vesting and repurchase mechanics, and confidentiality.</w:t>
      </w:r>
    </w:p>
    <w:p>
      <w:pPr>
        <w:pStyle w:val="ListParagraph"/>
        <w:numPr>
          <w:ilvl w:val="0"/>
          <w:numId w:val="5"/>
        </w:numPr>
      </w:pPr>
      <w:r>
        <w:rPr>
          <w:b/>
        </w:rPr>
        <w:t xml:space="preserve">Illustration only:</w:t>
      </w:r>
      <w:r>
        <w:t xml:space="preserve"> with 1,000,000 fully diluted shares of ₦1 each, 1% = 10,000 shares. Garba 350,000; Frances 300,000; each Core Team member 45,000; Adviser 10,000; Reserve 160,000. Counsel sets the real share count and par value so that issued capital and costs make sense.</w:t>
      </w:r>
    </w:p>
    <w:p>
      <w:pPr>
        <w:pStyle w:val="ListParagraph"/>
        <w:numPr>
          <w:ilvl w:val="0"/>
          <w:numId w:val="5"/>
        </w:numPr>
      </w:pPr>
      <w:r>
        <w:rPr>
          <w:b/>
        </w:rPr>
        <w:t xml:space="preserve">Tax:</w:t>
      </w:r>
      <w:r>
        <w:t xml:space="preserve"> get advice before allotting, because shares issued for services below market value can create a taxable benefit. While the Company’s value is nominal is the cheapest time to allot.</w:t>
      </w:r>
    </w:p>
    <w:p>
      <w:pPr>
        <w:pStyle w:val="Heading2"/>
      </w:pPr>
      <w:r>
        <w:t xml:space="preserve">9. Keeping the cap table clean</w:t>
      </w:r>
    </w:p>
    <w:p>
      <w:pPr>
        <w:pStyle w:val="ListParagraph"/>
        <w:numPr>
          <w:ilvl w:val="0"/>
          <w:numId w:val="6"/>
        </w:numPr>
      </w:pPr>
      <w:r>
        <w:t xml:space="preserve">One register, kept by the COO. It changes only by board resolution, and every grant has a signed agreement.</w:t>
      </w:r>
    </w:p>
    <w:p>
      <w:pPr>
        <w:pStyle w:val="ListParagraph"/>
        <w:numPr>
          <w:ilvl w:val="0"/>
          <w:numId w:val="6"/>
        </w:numPr>
      </w:pPr>
      <w:r>
        <w:rPr>
          <w:b/>
        </w:rPr>
        <w:t xml:space="preserve">No side deals:</w:t>
      </w:r>
      <w:r>
        <w:t xml:space="preserve"> any promise of equity, profit share or options that is not in the register and signed by both founders has no effect.</w:t>
      </w:r>
    </w:p>
    <w:p>
      <w:pPr>
        <w:pStyle w:val="ListParagraph"/>
        <w:numPr>
          <w:ilvl w:val="0"/>
          <w:numId w:val="6"/>
        </w:numPr>
      </w:pPr>
      <w:r>
        <w:t xml:space="preserve">The cap table is reviewed at the annual vesting review. Any change to the Day-1 allocation needs both founders and a Decision Log entry.</w:t>
      </w:r>
    </w:p>
    <w:p>
      <w:pPr>
        <w:pStyle w:val="Heading2"/>
      </w:pPr>
      <w:r>
        <w:t xml:space="preserve">10. Open decisions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Decision</w:t>
            </w:r>
          </w:p>
        </w:tc>
        <w:tc>
          <w:tcPr>
            <w:tcW w:w="3120" w:type="dxa"/>
            <w:shd w:val="clear" w:color="auto" w:fill="F2F2F2"/>
          </w:tcPr>
          <w:p>
            <w:pPr/>
            <w:r>
              <w:t xml:space="preserve">Recommendation</w:t>
            </w:r>
          </w:p>
        </w:tc>
      </w:tr>
      <w:tr>
        <w:tc>
          <w:tcPr>
            <w:tcW w:w="3120" w:type="dxa"/>
          </w:tcPr>
          <w:p>
            <w:pPr/>
            <w:r>
              <w:t xml:space="preserve">D1</w:t>
            </w:r>
          </w:p>
        </w:tc>
        <w:tc>
          <w:tcPr>
            <w:tcW w:w="3120" w:type="dxa"/>
          </w:tcPr>
          <w:p>
            <w:pPr/>
            <w:r>
              <w:t xml:space="preserve">Method for the founders’ split</w:t>
            </w:r>
          </w:p>
        </w:tc>
        <w:tc>
          <w:tcPr>
            <w:tcW w:w="3120" w:type="dxa"/>
          </w:tcPr>
          <w:p>
            <w:pPr/>
            <w:r>
              <w:t xml:space="preserve">Scorecard, or equal base plus 5-point IP premium (35 / 30)</w:t>
            </w:r>
          </w:p>
        </w:tc>
      </w:tr>
      <w:tr>
        <w:tc>
          <w:tcPr>
            <w:tcW w:w="3120" w:type="dxa"/>
          </w:tcPr>
          <w:p>
            <w:pPr/>
            <w:r>
              <w:t xml:space="preserve">D2</w:t>
            </w:r>
          </w:p>
        </w:tc>
        <w:tc>
          <w:tcPr>
            <w:tcW w:w="3120" w:type="dxa"/>
          </w:tcPr>
          <w:p>
            <w:pPr/>
            <w:r>
              <w:t xml:space="preserve">Day-1 allocation</w:t>
            </w:r>
          </w:p>
        </w:tc>
        <w:tc>
          <w:tcPr>
            <w:tcW w:w="3120" w:type="dxa"/>
          </w:tcPr>
          <w:p>
            <w:pPr/>
            <w:r>
              <w:t xml:space="preserve">65 / 18 / 1 / 16</w:t>
            </w:r>
          </w:p>
        </w:tc>
      </w:tr>
      <w:tr>
        <w:tc>
          <w:tcPr>
            <w:tcW w:w="3120" w:type="dxa"/>
          </w:tcPr>
          <w:p>
            <w:pPr/>
            <w:r>
              <w:t xml:space="preserve">D3</w:t>
            </w:r>
          </w:p>
        </w:tc>
        <w:tc>
          <w:tcPr>
            <w:tcW w:w="3120" w:type="dxa"/>
          </w:tcPr>
          <w:p>
            <w:pPr/>
            <w:r>
              <w:t xml:space="preserve">Vesting terms</w:t>
            </w:r>
          </w:p>
        </w:tc>
        <w:tc>
          <w:tcPr>
            <w:tcW w:w="3120" w:type="dxa"/>
          </w:tcPr>
          <w:p>
            <w:pPr/>
            <w:r>
              <w:t xml:space="preserve">As §4</w:t>
            </w:r>
          </w:p>
        </w:tc>
      </w:tr>
      <w:tr>
        <w:tc>
          <w:tcPr>
            <w:tcW w:w="3120" w:type="dxa"/>
          </w:tcPr>
          <w:p>
            <w:pPr/>
            <w:r>
              <w:t xml:space="preserve">D4</w:t>
            </w:r>
          </w:p>
        </w:tc>
        <w:tc>
          <w:tcPr>
            <w:tcW w:w="3120" w:type="dxa"/>
          </w:tcPr>
          <w:p>
            <w:pPr/>
            <w:r>
              <w:t xml:space="preserve">Layer A first-payout rule</w:t>
            </w:r>
          </w:p>
        </w:tc>
        <w:tc>
          <w:tcPr>
            <w:tcW w:w="3120" w:type="dxa"/>
          </w:tcPr>
          <w:p>
            <w:pPr/>
            <w:r>
              <w:t xml:space="preserve">Reserve of three months’ costs first</w:t>
            </w:r>
          </w:p>
        </w:tc>
      </w:tr>
      <w:tr>
        <w:tc>
          <w:tcPr>
            <w:tcW w:w="3120" w:type="dxa"/>
          </w:tcPr>
          <w:p>
            <w:pPr/>
            <w:r>
              <w:t xml:space="preserve">D5</w:t>
            </w:r>
          </w:p>
        </w:tc>
        <w:tc>
          <w:tcPr>
            <w:tcW w:w="3120" w:type="dxa"/>
          </w:tcPr>
          <w:p>
            <w:pPr/>
            <w:r>
              <w:t xml:space="preserve">Leaver terms</w:t>
            </w:r>
          </w:p>
        </w:tc>
        <w:tc>
          <w:tcPr>
            <w:tcW w:w="3120" w:type="dxa"/>
          </w:tcPr>
          <w:p>
            <w:pPr/>
            <w:r>
              <w:t xml:space="preserve">As §4, confirmed by counsel</w:t>
            </w:r>
          </w:p>
        </w:tc>
      </w:tr>
    </w:tbl>
    <w:p>
      <w:pPr/>
      <w:r>
        <w:t xml:space="preserve">Already resolved here: the Seat E arithmetic, the Adviser’s pay, the sunset of Layer A, and the link between profit sharing and shares (there is none).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BOLTE — Equity &amp; Profit Model (v1.0)</dc:title>
  <dc:description>Claude Docs node/a961d849-a3dd@3 docx-w6</dc:description>
  <cp:revision>3</cp:revision>
</cp:coreProperties>
</file>