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Founders’ Agreement — BOLTE (Draft v1.0)</w:t>
      </w:r>
    </w:p>
    <w:p>
      <w:pPr/>
      <w:r>
        <w:t xml:space="preserve">Oct 2, 2026</w:t>
      </w:r>
      <w:r>
        <w:t xml:space="preserve"> · </w:t>
      </w:r>
      <w:r>
        <w:t xml:space="preserve">@Garba Abdullahi Baba</w:t>
      </w:r>
    </w:p>
    <w:p>
      <w:pPr/>
      <w:r>
        <w:rPr>
          <w:i/>
        </w:rPr>
        <w:t xml:space="preserve">Draft for review by Nigerian counsel. Square brackets mark items to complete or confirm. It is written to be adopted by the Company on incorporation. Not legal advice.</w:t>
      </w:r>
    </w:p>
    <w:p>
      <w:pPr>
        <w:pStyle w:val="Heading2"/>
      </w:pPr>
      <w:r>
        <w:t xml:space="preserve">Key terms at a glance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Topic</w:t>
            </w:r>
          </w:p>
        </w:tc>
        <w:tc>
          <w:tcPr>
            <w:tcW w:w="3120" w:type="dxa"/>
            <w:shd w:val="clear" w:color="auto" w:fill="F2F2F2"/>
          </w:tcPr>
          <w:p>
            <w:pPr/>
            <w:r>
              <w:t xml:space="preserve">What this Agreement says</w:t>
            </w:r>
          </w:p>
        </w:tc>
        <w:tc>
          <w:tcPr>
            <w:tcW w:w="3120" w:type="dxa"/>
            <w:shd w:val="clear" w:color="auto" w:fill="F2F2F2"/>
          </w:tcPr>
          <w:p>
            <w:pPr/>
            <w:r>
              <w:t xml:space="preserve">Clause</w:t>
            </w:r>
          </w:p>
        </w:tc>
      </w:tr>
      <w:tr>
        <w:tc>
          <w:tcPr>
            <w:tcW w:w="3120" w:type="dxa"/>
          </w:tcPr>
          <w:p>
            <w:pPr/>
            <w:r>
              <w:t xml:space="preserve">Roles</w:t>
            </w:r>
          </w:p>
        </w:tc>
        <w:tc>
          <w:tcPr>
            <w:tcW w:w="3120" w:type="dxa"/>
          </w:tcPr>
          <w:p>
            <w:pPr/>
            <w:r>
              <w:t xml:space="preserve">Garba is CEO/CTO; Frances is COO &amp; Research Lead; each has final say in their domain</w:t>
            </w:r>
          </w:p>
        </w:tc>
        <w:tc>
          <w:tcPr>
            <w:tcW w:w="3120" w:type="dxa"/>
          </w:tcPr>
          <w:p>
            <w:pPr/>
            <w:r>
              <w:t xml:space="preserve">3, Sch 1</w:t>
            </w:r>
          </w:p>
        </w:tc>
      </w:tr>
      <w:tr>
        <w:tc>
          <w:tcPr>
            <w:tcW w:w="3120" w:type="dxa"/>
          </w:tcPr>
          <w:p>
            <w:pPr/>
            <w:r>
              <w:t xml:space="preserve">Both-founder matters</w:t>
            </w:r>
          </w:p>
        </w:tc>
        <w:tc>
          <w:tcPr>
            <w:tcW w:w="3120" w:type="dxa"/>
          </w:tcPr>
          <w:p>
            <w:pPr/>
            <w:r>
              <w:t xml:space="preserve">Equity, IP, partnerships, spend above ₦50,000, members, Canon</w:t>
            </w:r>
          </w:p>
        </w:tc>
        <w:tc>
          <w:tcPr>
            <w:tcW w:w="3120" w:type="dxa"/>
          </w:tcPr>
          <w:p>
            <w:pPr/>
            <w:r>
              <w:t xml:space="preserve">5, Sch 3</w:t>
            </w:r>
          </w:p>
        </w:tc>
      </w:tr>
      <w:tr>
        <w:tc>
          <w:tcPr>
            <w:tcW w:w="3120" w:type="dxa"/>
          </w:tcPr>
          <w:p>
            <w:pPr/>
            <w:r>
              <w:t xml:space="preserve">Deadlock</w:t>
            </w:r>
          </w:p>
        </w:tc>
        <w:tc>
          <w:tcPr>
            <w:tcW w:w="3120" w:type="dxa"/>
          </w:tcPr>
          <w:p>
            <w:pPr/>
            <w:r>
              <w:t xml:space="preserve">Write, cool off, Adviser opinion, mediation, arbitration; status quo meanwhile</w:t>
            </w:r>
          </w:p>
        </w:tc>
        <w:tc>
          <w:tcPr>
            <w:tcW w:w="3120" w:type="dxa"/>
          </w:tcPr>
          <w:p>
            <w:pPr/>
            <w:r>
              <w:t xml:space="preserve">6</w:t>
            </w:r>
          </w:p>
        </w:tc>
      </w:tr>
      <w:tr>
        <w:tc>
          <w:tcPr>
            <w:tcW w:w="3120" w:type="dxa"/>
          </w:tcPr>
          <w:p>
            <w:pPr/>
            <w:r>
              <w:t xml:space="preserve">Equity</w:t>
            </w:r>
          </w:p>
        </w:tc>
        <w:tc>
          <w:tcPr>
            <w:tcW w:w="3120" w:type="dxa"/>
          </w:tcPr>
          <w:p>
            <w:pPr/>
            <w:r>
              <w:t xml:space="preserve">Founders hold 65% fully diluted, split by the method chosen in the Equity Model</w:t>
            </w:r>
          </w:p>
        </w:tc>
        <w:tc>
          <w:tcPr>
            <w:tcW w:w="3120" w:type="dxa"/>
          </w:tcPr>
          <w:p>
            <w:pPr/>
            <w:r>
              <w:t xml:space="preserve">7</w:t>
            </w:r>
          </w:p>
        </w:tc>
      </w:tr>
      <w:tr>
        <w:tc>
          <w:tcPr>
            <w:tcW w:w="3120" w:type="dxa"/>
          </w:tcPr>
          <w:p>
            <w:pPr/>
            <w:r>
              <w:t xml:space="preserve">Vesting</w:t>
            </w:r>
          </w:p>
        </w:tc>
        <w:tc>
          <w:tcPr>
            <w:tcW w:w="3120" w:type="dxa"/>
          </w:tcPr>
          <w:p>
            <w:pPr/>
            <w:r>
              <w:t xml:space="preserve">4 years, 12-month cliff, monthly</w:t>
            </w:r>
          </w:p>
        </w:tc>
        <w:tc>
          <w:tcPr>
            <w:tcW w:w="3120" w:type="dxa"/>
          </w:tcPr>
          <w:p>
            <w:pPr/>
            <w:r>
              <w:t xml:space="preserve">7, Sch 6</w:t>
            </w:r>
          </w:p>
        </w:tc>
      </w:tr>
      <w:tr>
        <w:tc>
          <w:tcPr>
            <w:tcW w:w="3120" w:type="dxa"/>
          </w:tcPr>
          <w:p>
            <w:pPr/>
            <w:r>
              <w:t xml:space="preserve">IP</w:t>
            </w:r>
          </w:p>
        </w:tc>
        <w:tc>
          <w:tcPr>
            <w:tcW w:w="3120" w:type="dxa"/>
          </w:tcPr>
          <w:p>
            <w:pPr/>
            <w:r>
              <w:t xml:space="preserve">Everything made for BOLTE, before or after today, goes to the Company</w:t>
            </w:r>
          </w:p>
        </w:tc>
        <w:tc>
          <w:tcPr>
            <w:tcW w:w="3120" w:type="dxa"/>
          </w:tcPr>
          <w:p>
            <w:pPr/>
            <w:r>
              <w:t xml:space="preserve">8</w:t>
            </w:r>
          </w:p>
        </w:tc>
      </w:tr>
      <w:tr>
        <w:tc>
          <w:tcPr>
            <w:tcW w:w="3120" w:type="dxa"/>
          </w:tcPr>
          <w:p>
            <w:pPr/>
            <w:r>
              <w:t xml:space="preserve">Pay</w:t>
            </w:r>
          </w:p>
        </w:tc>
        <w:tc>
          <w:tcPr>
            <w:tcW w:w="3120" w:type="dxa"/>
          </w:tcPr>
          <w:p>
            <w:pPr/>
            <w:r>
              <w:t xml:space="preserve">None until funding; then board decides with Adviser input</w:t>
            </w:r>
          </w:p>
        </w:tc>
        <w:tc>
          <w:tcPr>
            <w:tcW w:w="3120" w:type="dxa"/>
          </w:tcPr>
          <w:p>
            <w:pPr/>
            <w:r>
              <w:t xml:space="preserve">9</w:t>
            </w:r>
          </w:p>
        </w:tc>
      </w:tr>
      <w:tr>
        <w:tc>
          <w:tcPr>
            <w:tcW w:w="3120" w:type="dxa"/>
          </w:tcPr>
          <w:p>
            <w:pPr/>
            <w:r>
              <w:t xml:space="preserve">Leaving</w:t>
            </w:r>
          </w:p>
        </w:tc>
        <w:tc>
          <w:tcPr>
            <w:tcW w:w="3120" w:type="dxa"/>
          </w:tcPr>
          <w:p>
            <w:pPr/>
            <w:r>
              <w:t xml:space="preserve">Good, Neutral and Bad Leaver rules; no one can be removed for Cause on one founder’s say-so</w:t>
            </w:r>
          </w:p>
        </w:tc>
        <w:tc>
          <w:tcPr>
            <w:tcW w:w="3120" w:type="dxa"/>
          </w:tcPr>
          <w:p>
            <w:pPr/>
            <w:r>
              <w:t xml:space="preserve">11</w:t>
            </w:r>
          </w:p>
        </w:tc>
      </w:tr>
      <w:tr>
        <w:tc>
          <w:tcPr>
            <w:tcW w:w="3120" w:type="dxa"/>
          </w:tcPr>
          <w:p>
            <w:pPr/>
            <w:r>
              <w:t xml:space="preserve">After leaving</w:t>
            </w:r>
          </w:p>
        </w:tc>
        <w:tc>
          <w:tcPr>
            <w:tcW w:w="3120" w:type="dxa"/>
          </w:tcPr>
          <w:p>
            <w:pPr/>
            <w:r>
              <w:t xml:space="preserve">12-month non-compete and non-solicit</w:t>
            </w:r>
          </w:p>
        </w:tc>
        <w:tc>
          <w:tcPr>
            <w:tcW w:w="3120" w:type="dxa"/>
          </w:tcPr>
          <w:p>
            <w:pPr/>
            <w:r>
              <w:t xml:space="preserve">12</w:t>
            </w:r>
          </w:p>
        </w:tc>
      </w:tr>
    </w:tbl>
    <w:p>
      <w:pPr>
        <w:pStyle w:val="Heading2"/>
      </w:pPr>
      <w:r>
        <w:t xml:space="preserve">Parties</w:t>
      </w:r>
    </w:p>
    <w:p>
      <w:pPr/>
      <w:r>
        <w:t xml:space="preserve">This Agreement is made on [date] (the </w:t>
      </w:r>
      <w:r>
        <w:rPr>
          <w:b/>
        </w:rPr>
        <w:t xml:space="preserve">Effective Date</w:t>
      </w:r>
      <w:r>
        <w:t xml:space="preserve">, expected to be 02 October 2026) between:</w:t>
      </w:r>
    </w:p>
    <w:p>
      <w:pPr>
        <w:pStyle w:val="ListParagraph"/>
        <w:numPr>
          <w:ilvl w:val="0"/>
          <w:numId w:val="2"/>
        </w:numPr>
      </w:pPr>
      <w:r>
        <w:rPr>
          <w:b/>
        </w:rPr>
        <w:t xml:space="preserve">ABDULLAHI BABA GARBA</w:t>
      </w:r>
      <w:r>
        <w:t xml:space="preserve"> of [address], ID [type and number] (</w:t>
      </w:r>
      <w:r>
        <w:rPr>
          <w:b/>
        </w:rPr>
        <w:t xml:space="preserve">Garba</w:t>
      </w:r>
      <w:r>
        <w:t xml:space="preserve">); and</w:t>
      </w:r>
    </w:p>
    <w:p>
      <w:pPr>
        <w:pStyle w:val="ListParagraph"/>
        <w:numPr>
          <w:ilvl w:val="0"/>
          <w:numId w:val="2"/>
        </w:numPr>
      </w:pPr>
      <w:r>
        <w:rPr>
          <w:b/>
        </w:rPr>
        <w:t xml:space="preserve">ESSIEN FRANCES EKOMOBONG</w:t>
      </w:r>
      <w:r>
        <w:t xml:space="preserve"> of [address], ID [type and number] (</w:t>
      </w:r>
      <w:r>
        <w:rPr>
          <w:b/>
        </w:rPr>
        <w:t xml:space="preserve">Frances</w:t>
      </w:r>
      <w:r>
        <w:t xml:space="preserve">),</w:t>
      </w:r>
    </w:p>
    <w:p>
      <w:pPr/>
      <w:r>
        <w:t xml:space="preserve">each a </w:t>
      </w:r>
      <w:r>
        <w:rPr>
          <w:b/>
        </w:rPr>
        <w:t xml:space="preserve">Founder</w:t>
      </w:r>
      <w:r>
        <w:t xml:space="preserve"> and together the </w:t>
      </w:r>
      <w:r>
        <w:rPr>
          <w:b/>
        </w:rPr>
        <w:t xml:space="preserve">Founders</w:t>
      </w:r>
      <w:r>
        <w:t xml:space="preserve">.</w:t>
      </w:r>
    </w:p>
    <w:p>
      <w:pPr>
        <w:pStyle w:val="Heading2"/>
      </w:pPr>
      <w:r>
        <w:t xml:space="preserve">Background</w:t>
      </w:r>
    </w:p>
    <w:p>
      <w:pPr/>
      <w:r>
        <w:t xml:space="preserve">(A) The Founders are building BOLTE, a Nigerian research, engineering and technology company focused first on indigenous defence and security technology, with AeroPulse-NG as its flagship product, and later extending into agriculture, healthcare, education technology, financial technology and other sectors (the </w:t>
      </w:r>
      <w:r>
        <w:rPr>
          <w:b/>
        </w:rPr>
        <w:t xml:space="preserve">Business</w:t>
      </w:r>
      <w:r>
        <w:t xml:space="preserve">).</w:t>
      </w:r>
    </w:p>
    <w:p>
      <w:pPr/>
      <w:r>
        <w:t xml:space="preserve">(B) The Founders have applied to the Corporate Affairs Commission to incorporate a company to carry on the Business, [BOLTE [Technologies] Limited, name subject to CAC approval] (the </w:t>
      </w:r>
      <w:r>
        <w:rPr>
          <w:b/>
        </w:rPr>
        <w:t xml:space="preserve">Company</w:t>
      </w:r>
      <w:r>
        <w:t xml:space="preserve">).</w:t>
      </w:r>
    </w:p>
    <w:p>
      <w:pPr/>
      <w:r>
        <w:t xml:space="preserve">(C) They wish to settle how they will own, govern, fund and, if necessary, part from the Business before the Company is incorporated and before anyone else joins.</w:t>
      </w:r>
    </w:p>
    <w:p>
      <w:pPr>
        <w:pStyle w:val="Heading2"/>
      </w:pPr>
      <w:r>
        <w:t xml:space="preserve">1. Interpretation</w:t>
      </w:r>
    </w:p>
    <w:p>
      <w:pPr/>
      <w:r>
        <w:t xml:space="preserve">1.1 In this Agreement:</w:t>
      </w:r>
    </w:p>
    <w:p>
      <w:pPr>
        <w:pStyle w:val="ListParagraph"/>
        <w:numPr>
          <w:ilvl w:val="0"/>
          <w:numId w:val="3"/>
        </w:numPr>
      </w:pPr>
      <w:r>
        <w:rPr>
          <w:b/>
        </w:rPr>
        <w:t xml:space="preserve">Canon</w:t>
      </w:r>
      <w:r>
        <w:t xml:space="preserve"> means the BOLTE Canon (vision, mission, goals, philosophy and ethics guardrails) as amended under clause 5.</w:t>
      </w:r>
    </w:p>
    <w:p>
      <w:pPr>
        <w:pStyle w:val="ListParagraph"/>
        <w:numPr>
          <w:ilvl w:val="0"/>
          <w:numId w:val="3"/>
        </w:numPr>
      </w:pPr>
      <w:r>
        <w:rPr>
          <w:b/>
        </w:rPr>
        <w:t xml:space="preserve">Collective</w:t>
      </w:r>
      <w:r>
        <w:t xml:space="preserve"> means the unincorporated group of BOLTE members before the Incorporation Date.</w:t>
      </w:r>
    </w:p>
    <w:p>
      <w:pPr>
        <w:pStyle w:val="ListParagraph"/>
        <w:numPr>
          <w:ilvl w:val="0"/>
          <w:numId w:val="3"/>
        </w:numPr>
      </w:pPr>
      <w:r>
        <w:rPr>
          <w:b/>
        </w:rPr>
        <w:t xml:space="preserve">Equity Model</w:t>
      </w:r>
      <w:r>
        <w:t xml:space="preserve"> means the BOLTE Equity &amp; Profit Model v1.0 as amended by both Founders in writing.</w:t>
      </w:r>
    </w:p>
    <w:p>
      <w:pPr>
        <w:pStyle w:val="ListParagraph"/>
        <w:numPr>
          <w:ilvl w:val="0"/>
          <w:numId w:val="3"/>
        </w:numPr>
      </w:pPr>
      <w:r>
        <w:rPr>
          <w:b/>
        </w:rPr>
        <w:t xml:space="preserve">Incorporation Date</w:t>
      </w:r>
      <w:r>
        <w:t xml:space="preserve"> means the date of the Company’s certificate of incorporation.</w:t>
      </w:r>
    </w:p>
    <w:p>
      <w:pPr>
        <w:pStyle w:val="ListParagraph"/>
        <w:numPr>
          <w:ilvl w:val="0"/>
          <w:numId w:val="3"/>
        </w:numPr>
      </w:pPr>
      <w:r>
        <w:rPr>
          <w:b/>
        </w:rPr>
        <w:t xml:space="preserve">IP</w:t>
      </w:r>
      <w:r>
        <w:t xml:space="preserve"> means all intellectual property and similar rights anywhere, registered or not, including copyright, patent and design rights, trade marks, rights in software, drawings, specifications and data, database rights, know-how and trade secrets.</w:t>
      </w:r>
    </w:p>
    <w:p>
      <w:pPr>
        <w:pStyle w:val="ListParagraph"/>
        <w:numPr>
          <w:ilvl w:val="0"/>
          <w:numId w:val="3"/>
        </w:numPr>
      </w:pPr>
      <w:r>
        <w:rPr>
          <w:b/>
        </w:rPr>
        <w:t xml:space="preserve">Member MOU</w:t>
      </w:r>
      <w:r>
        <w:t xml:space="preserve"> means the BOLTE Member Collaboration MOU signed by the Founders and the members.</w:t>
      </w:r>
    </w:p>
    <w:p>
      <w:pPr>
        <w:pStyle w:val="ListParagraph"/>
        <w:numPr>
          <w:ilvl w:val="0"/>
          <w:numId w:val="3"/>
        </w:numPr>
      </w:pPr>
      <w:r>
        <w:rPr>
          <w:b/>
        </w:rPr>
        <w:t xml:space="preserve">Reserved Matters</w:t>
      </w:r>
      <w:r>
        <w:t xml:space="preserve"> means the matters in Schedule 3.</w:t>
      </w:r>
    </w:p>
    <w:p>
      <w:pPr>
        <w:pStyle w:val="ListParagraph"/>
        <w:numPr>
          <w:ilvl w:val="0"/>
          <w:numId w:val="3"/>
        </w:numPr>
      </w:pPr>
      <w:r>
        <w:rPr>
          <w:b/>
        </w:rPr>
        <w:t xml:space="preserve">Restricted Field</w:t>
      </w:r>
      <w:r>
        <w:t xml:space="preserve"> means the design, development or sale of airspace-surveillance, air-traffic-management, tactical-sensing, secure-communications and aerospace, defence and security technologies of the kinds described in Canon Goal 1 or carried on by the Business when a Founder leaves.</w:t>
      </w:r>
    </w:p>
    <w:p>
      <w:pPr>
        <w:pStyle w:val="ListParagraph"/>
        <w:numPr>
          <w:ilvl w:val="0"/>
          <w:numId w:val="3"/>
        </w:numPr>
      </w:pPr>
      <w:r>
        <w:rPr>
          <w:b/>
        </w:rPr>
        <w:t xml:space="preserve">Work Product</w:t>
      </w:r>
      <w:r>
        <w:t xml:space="preserve"> means all code, designs, drawings, documents, specifications, inventions, data, demonstrations and other materials created for or in connection with the Business.</w:t>
      </w:r>
    </w:p>
    <w:p>
      <w:pPr/>
      <w:r>
        <w:t xml:space="preserve">1.2 ‘Written’ includes email and saved messages. ‘Both Founders’ means each Founder separately agreeing in writing. Silence is never consent.</w:t>
      </w:r>
    </w:p>
    <w:p>
      <w:pPr>
        <w:pStyle w:val="Heading2"/>
      </w:pPr>
      <w:r>
        <w:t xml:space="preserve">2. Purpose, Canon and ethics</w:t>
      </w:r>
    </w:p>
    <w:p>
      <w:pPr/>
      <w:r>
        <w:t xml:space="preserve">2.1 The Founders will run the Business in line with the Canon.</w:t>
      </w:r>
    </w:p>
    <w:p>
      <w:pPr/>
      <w:r>
        <w:t xml:space="preserve">2.2 These guardrails bind both Founders: lawful and legitimate users only; compliance with Nigerian law and export controls; a defensive and situational-awareness posture with no indiscriminate-harm enablers; a human decision-maker in the loop for operational judgements; safety and testing discipline before deployment; and written approval of both Founders before any partnership with a security institution.</w:t>
      </w:r>
    </w:p>
    <w:p>
      <w:pPr/>
      <w:r>
        <w:t xml:space="preserve">2.3 Neither Founder will cause BOLTE to accept work, funding or a partner that breaches clause 2.2.</w:t>
      </w:r>
    </w:p>
    <w:p>
      <w:pPr>
        <w:pStyle w:val="Heading2"/>
      </w:pPr>
      <w:r>
        <w:t xml:space="preserve">3. Roles and authority</w:t>
      </w:r>
    </w:p>
    <w:p>
      <w:pPr/>
      <w:r>
        <w:t xml:space="preserve">3.1 Garba is Chief Executive Officer and Chief Technology Officer. Frances is Chief Operating Officer and Research Lead. A title changes only by agreement of both Founders.</w:t>
      </w:r>
    </w:p>
    <w:p>
      <w:pPr/>
      <w:r>
        <w:t xml:space="preserve">3.2 Each Founder has final say within the domains in Schedule 1. The other Founder will not override or obstruct a decision made within those domains, but may escalate it under clause 6 if it breaches the Canon, the law or a Reserved Matter.</w:t>
      </w:r>
    </w:p>
    <w:p>
      <w:pPr/>
      <w:r>
        <w:t xml:space="preserve">3.3 Until the Incorporation Date neither Founder may sign any contract in the name of BOLTE or the Collective. A Founder may enter a commitment in their own name only within Schedule 4, with written disclosure to the other Founder and to the members.</w:t>
      </w:r>
    </w:p>
    <w:p>
      <w:pPr/>
      <w:r>
        <w:t xml:space="preserve">3.4 From the Incorporation Date the Founders will be the Company’s first directors [counsel to confirm], both will be signatories on every bank mandate, and Schedules 1, 3 and 4 operate as its authority matrix.</w:t>
      </w:r>
    </w:p>
    <w:p>
      <w:pPr/>
      <w:r>
        <w:t xml:space="preserve">3.5 </w:t>
      </w:r>
      <w:r>
        <w:rPr>
          <w:b/>
        </w:rPr>
        <w:t xml:space="preserve">Urgent action.</w:t>
      </w:r>
      <w:r>
        <w:t xml:space="preserve"> If a Founder cannot be reached for 7 days on a matter where delay would cause real loss or a legal breach, the other Founder may act to the minimum extent needed to protect the Business and must report in writing within 48 hours.</w:t>
      </w:r>
    </w:p>
    <w:p>
      <w:pPr>
        <w:pStyle w:val="Heading2"/>
      </w:pPr>
      <w:r>
        <w:t xml:space="preserve">4. Time, commitment and outside activities</w:t>
      </w:r>
    </w:p>
    <w:p>
      <w:pPr/>
      <w:r>
        <w:t xml:space="preserve">4.1 Each Founder will meet the Commitment Standard in Schedule 2.</w:t>
      </w:r>
    </w:p>
    <w:p>
      <w:pPr/>
      <w:r>
        <w:t xml:space="preserve">4.2 The Founders are [students]; study obligations are respected. A Founder may take approved leave of up to 8 weeks in any 12 months by written notice with a plan for covering their duties. Vesting continues during approved leave.</w:t>
      </w:r>
    </w:p>
    <w:p>
      <w:pPr/>
      <w:r>
        <w:t xml:space="preserve">4.3 A Founder will not engage in any other business in the Restricted Field and will disclose any other employment or venture that could take material time or create a conflict.</w:t>
      </w:r>
    </w:p>
    <w:p>
      <w:pPr/>
      <w:r>
        <w:t xml:space="preserve">4.4 If a Founder falls below the Commitment Standard for 4 consecutive weeks without approved leave, the Founders will hold a review. If no recovery plan is agreed within 14 days, vesting of that Founder’s shares pauses until the standard is met again.</w:t>
      </w:r>
    </w:p>
    <w:p>
      <w:pPr>
        <w:pStyle w:val="Heading2"/>
      </w:pPr>
      <w:r>
        <w:t xml:space="preserve">5. Reserved Matters, spending and the Canon</w:t>
      </w:r>
    </w:p>
    <w:p>
      <w:pPr/>
      <w:r>
        <w:t xml:space="preserve">5.1 No Reserved Matter may be done by or for BOLTE or the Company without both Founders’ written consent.</w:t>
      </w:r>
    </w:p>
    <w:p>
      <w:pPr/>
      <w:r>
        <w:t xml:space="preserve">5.2 Spending follows Schedule 4.</w:t>
      </w:r>
    </w:p>
    <w:p>
      <w:pPr/>
      <w:r>
        <w:t xml:space="preserve">5.3 The Canon, including its ethics guardrails, changes only with both Founders’ written approval.</w:t>
      </w:r>
    </w:p>
    <w:p>
      <w:pPr/>
      <w:r>
        <w:t xml:space="preserve">5.4 Every decision touching money, IP, equity, partners or people is entered in the Decision Log within 48 hours: date, decision, decider, who was consulted, review date.</w:t>
      </w:r>
    </w:p>
    <w:p>
      <w:pPr>
        <w:pStyle w:val="Heading2"/>
      </w:pPr>
      <w:r>
        <w:t xml:space="preserve">6. Deadlock</w:t>
      </w:r>
    </w:p>
    <w:p>
      <w:pPr/>
      <w:r>
        <w:t xml:space="preserve">6.1 If the Founders cannot agree on a matter that needs both of them, either may start this process by notice:</w:t>
      </w:r>
    </w:p>
    <w:p>
      <w:pPr>
        <w:pStyle w:val="ListParagraph"/>
        <w:numPr>
          <w:ilvl w:val="0"/>
          <w:numId w:val="4"/>
        </w:numPr>
      </w:pPr>
      <w:r>
        <w:rPr>
          <w:b/>
        </w:rPr>
        <w:t xml:space="preserve">Position papers (2 days):</w:t>
      </w:r>
      <w:r>
        <w:t xml:space="preserve"> each Founder gives a one-page written position: the decision needed, their preferred option, the worst case if it goes wrong.</w:t>
      </w:r>
    </w:p>
    <w:p>
      <w:pPr>
        <w:pStyle w:val="ListParagraph"/>
        <w:numPr>
          <w:ilvl w:val="0"/>
          <w:numId w:val="4"/>
        </w:numPr>
      </w:pPr>
      <w:r>
        <w:rPr>
          <w:b/>
        </w:rPr>
        <w:t xml:space="preserve">Cool-off (5 days):</w:t>
      </w:r>
      <w:r>
        <w:t xml:space="preserve"> the Founders meet and take no decision. On reversible matters, technical questions are decided by the CEO/CTO and operational questions by the COO.</w:t>
      </w:r>
    </w:p>
    <w:p>
      <w:pPr>
        <w:pStyle w:val="ListParagraph"/>
        <w:numPr>
          <w:ilvl w:val="0"/>
          <w:numId w:val="4"/>
        </w:numPr>
      </w:pPr>
      <w:r>
        <w:rPr>
          <w:b/>
        </w:rPr>
        <w:t xml:space="preserve">Adviser opinion (7 days):</w:t>
      </w:r>
      <w:r>
        <w:t xml:space="preserve"> the Business &amp; Financial Adviser gives a written, non-binding opinion to both.</w:t>
      </w:r>
    </w:p>
    <w:p>
      <w:pPr>
        <w:pStyle w:val="ListParagraph"/>
        <w:numPr>
          <w:ilvl w:val="0"/>
          <w:numId w:val="4"/>
        </w:numPr>
      </w:pPr>
      <w:r>
        <w:rPr>
          <w:b/>
        </w:rPr>
        <w:t xml:space="preserve">Mediation (up to 30 days):</w:t>
      </w:r>
      <w:r>
        <w:t xml:space="preserve"> by a mediator both agree, or failing agreement appointed on either Founder’s request by [Lagos Multi-Door Courthouse or another recognised body, counsel to confirm].</w:t>
      </w:r>
    </w:p>
    <w:p>
      <w:pPr>
        <w:pStyle w:val="ListParagraph"/>
        <w:numPr>
          <w:ilvl w:val="0"/>
          <w:numId w:val="4"/>
        </w:numPr>
      </w:pPr>
      <w:r>
        <w:rPr>
          <w:b/>
        </w:rPr>
        <w:t xml:space="preserve">Arbitration:</w:t>
      </w:r>
      <w:r>
        <w:t xml:space="preserve"> under clause 18, available only for fundamental disputes and not for tactical disagreements.</w:t>
      </w:r>
    </w:p>
    <w:p>
      <w:pPr/>
      <w:r>
        <w:t xml:space="preserve">6.2 While a deadlock is open the status quo continues and neither Founder will take irreversible action on the disputed point.</w:t>
      </w:r>
    </w:p>
    <w:p>
      <w:pPr>
        <w:pStyle w:val="Heading2"/>
      </w:pPr>
      <w:r>
        <w:t xml:space="preserve">7. Equity</w:t>
      </w:r>
    </w:p>
    <w:p>
      <w:pPr/>
      <w:r>
        <w:t xml:space="preserve">7.1 On incorporation the Founders will subscribe for shares so that together they hold 65% of the fully diluted share capital, divided as follows [select one before CAC filing]:</w:t>
      </w:r>
    </w:p>
    <w:p>
      <w:pPr>
        <w:pStyle w:val="ListParagraph"/>
        <w:numPr>
          <w:ilvl w:val="0"/>
          <w:numId w:val="5"/>
        </w:numPr>
      </w:pPr>
      <w:r>
        <w:rPr>
          <w:b/>
        </w:rPr>
        <w:t xml:space="preserve">Option A:</w:t>
      </w:r>
      <w:r>
        <w:t xml:space="preserve"> Garba 35% (30% plus 5% IP Contribution Shares) and Frances 30%.</w:t>
      </w:r>
    </w:p>
    <w:p>
      <w:pPr>
        <w:pStyle w:val="ListParagraph"/>
        <w:numPr>
          <w:ilvl w:val="0"/>
          <w:numId w:val="5"/>
        </w:numPr>
      </w:pPr>
      <w:r>
        <w:rPr>
          <w:b/>
        </w:rPr>
        <w:t xml:space="preserve">Option B:</w:t>
      </w:r>
      <w:r>
        <w:t xml:space="preserve"> Garba 32.5% and Frances 32.5%.</w:t>
      </w:r>
    </w:p>
    <w:p>
      <w:pPr>
        <w:pStyle w:val="ListParagraph"/>
        <w:numPr>
          <w:ilvl w:val="0"/>
          <w:numId w:val="5"/>
        </w:numPr>
      </w:pPr>
      <w:r>
        <w:rPr>
          <w:b/>
        </w:rPr>
        <w:t xml:space="preserve">Option C:</w:t>
      </w:r>
      <w:r>
        <w:t xml:space="preserve"> the split produced by the scorecard in Equity Model section 7.</w:t>
      </w:r>
    </w:p>
    <w:p>
      <w:pPr/>
      <w:r>
        <w:t xml:space="preserve">7.2 Founder shares vest under Schedule 6, by reverse vesting: they are allotted at the start and the Company may repurchase unvested shares on a Founder’s departure at nominal value.</w:t>
      </w:r>
    </w:p>
    <w:p>
      <w:pPr/>
      <w:r>
        <w:t xml:space="preserve">7.3 The Founders will vote their shares so that the Company’s articles and any shareholders’ agreement reflect this Agreement.</w:t>
      </w:r>
    </w:p>
    <w:p>
      <w:pPr/>
      <w:r>
        <w:t xml:space="preserve">7.4 No share, option or profit share is promised to anyone unless both Founders sign it and it is recorded in the register of members or the cap table. Any other promise has no effect.</w:t>
      </w:r>
    </w:p>
    <w:p>
      <w:pPr>
        <w:pStyle w:val="Heading2"/>
      </w:pPr>
      <w:r>
        <w:t xml:space="preserve">8. Intellectual property</w:t>
      </w:r>
    </w:p>
    <w:p>
      <w:pPr/>
      <w:r>
        <w:t xml:space="preserve">8.1 The Founders confirm that all Work Product that either of them has created, alone or together, for or in connection with the Business, </w:t>
      </w:r>
      <w:r>
        <w:rPr>
          <w:b/>
        </w:rPr>
        <w:t xml:space="preserve">whether before or after the Effective Date</w:t>
      </w:r>
      <w:r>
        <w:t xml:space="preserve">, belongs to the Company or will be assigned to it. This includes the projects listed in Schedule 5.</w:t>
      </w:r>
    </w:p>
    <w:p>
      <w:pPr/>
      <w:r>
        <w:t xml:space="preserve">8.2 Within 14 days after the Incorporation Date each Founder will sign the IP Contribution Deed (Part C of the Contributor IP Assignment) assigning that Work Product to the Company with full title guarantee. The consideration is the founder shares, including any IP Contribution Shares. Until then each Founder holds that Work Product on trust for the Collective, and then the Company, and will not assign, licence, publish, charge or otherwise deal with it.</w:t>
      </w:r>
    </w:p>
    <w:p>
      <w:pPr/>
      <w:r>
        <w:t xml:space="preserve">8.3 Each Founder warrants that, except as disclosed in Schedule 5: (a) the Work Product is their original work or properly licensed; (b) no employer, university, sponsor or other person has or can claim rights in it; (c) it contains no code under a licence that would force disclosure of BOLTE’s proprietary modules; and (d) it has not been disclosed publicly in a way that harms patent or trade-secret protection.</w:t>
      </w:r>
    </w:p>
    <w:p>
      <w:pPr/>
      <w:r>
        <w:t xml:space="preserve">8.4 Within 7 days of signing, all repositories move to a BOLTE GitHub organisation, private by default, with both Founders as owners. Domains, cloud, social media and app accounts are held in the Company’s or both Founders’ names, with credentials in a shared password manager that both Founders can recover.</w:t>
      </w:r>
    </w:p>
    <w:p>
      <w:pPr/>
      <w:r>
        <w:t xml:space="preserve">8.5 Authors keep any moral right to be named that the law does not allow to be assigned.</w:t>
      </w:r>
    </w:p>
    <w:p>
      <w:pPr/>
      <w:r>
        <w:t xml:space="preserve">8.6 The Disclosure Gate in the Playbook applies: nothing is published, uploaded to a competition, shown to an outsider or open-sourced without both Founders’ written confirmation.</w:t>
      </w:r>
    </w:p>
    <w:p>
      <w:pPr>
        <w:pStyle w:val="Heading2"/>
      </w:pPr>
      <w:r>
        <w:t xml:space="preserve">9. Money and compensation</w:t>
      </w:r>
    </w:p>
    <w:p>
      <w:pPr/>
      <w:r>
        <w:t xml:space="preserve">9.1 No Founder is paid a salary until the Company has raised funding. After that, pay is set by the board with the Adviser’s written input.</w:t>
      </w:r>
    </w:p>
    <w:p>
      <w:pPr/>
      <w:r>
        <w:t xml:space="preserve">9.2 Expenses are reimbursed within Schedule 4 against receipts.</w:t>
      </w:r>
    </w:p>
    <w:p>
      <w:pPr/>
      <w:r>
        <w:t xml:space="preserve">9.3 A Founder may lend money to the Company only under a written loan agreement. No Founder will give a personal guarantee for the Business without both Founders’ consent and, where the law allows, the Company’s indemnity.</w:t>
      </w:r>
    </w:p>
    <w:p>
      <w:pPr/>
      <w:r>
        <w:t xml:space="preserve">9.4 Prizes, grants and revenue are handled under the Member MOU before incorporation and by the Company afterwards.</w:t>
      </w:r>
    </w:p>
    <w:p>
      <w:pPr>
        <w:pStyle w:val="Heading2"/>
      </w:pPr>
      <w:r>
        <w:t xml:space="preserve">10. Confidentiality and public statements</w:t>
      </w:r>
    </w:p>
    <w:p>
      <w:pPr/>
      <w:r>
        <w:t xml:space="preserve">10.1 Each Founder is bound by the BOLTE Confidentiality Undertaking and will comply with the Nigerian Data Protection Act 2023 for any personal data they handle.</w:t>
      </w:r>
    </w:p>
    <w:p>
      <w:pPr/>
      <w:r>
        <w:t xml:space="preserve">10.2 Neither Founder will speak publicly for BOLTE on defence, security or government matters without the other’s agreement.</w:t>
      </w:r>
    </w:p>
    <w:p>
      <w:pPr>
        <w:pStyle w:val="Heading2"/>
      </w:pPr>
      <w:r>
        <w:t xml:space="preserve">11. Leaving the Business</w:t>
      </w:r>
    </w:p>
    <w:p>
      <w:pPr/>
      <w:r>
        <w:t xml:space="preserve">11.1 A Founder leaves on resignation, removal for Cause, death or permanent incapacity.</w:t>
      </w:r>
    </w:p>
    <w:p>
      <w:pPr/>
      <w:r>
        <w:t xml:space="preserve">11.2 </w:t>
      </w:r>
      <w:r>
        <w:rPr>
          <w:b/>
        </w:rPr>
        <w:t xml:space="preserve">Resignation</w:t>
      </w:r>
      <w:r>
        <w:t xml:space="preserve"> needs 60 days’ written notice, followed by up to 90 days of handover during which the leaver transfers accounts, credentials and knowledge.</w:t>
      </w:r>
    </w:p>
    <w:p>
      <w:pPr/>
      <w:r>
        <w:t xml:space="preserve">11.3 </w:t>
      </w:r>
      <w:r>
        <w:rPr>
          <w:b/>
        </w:rPr>
        <w:t xml:space="preserve">Cause</w:t>
      </w:r>
      <w:r>
        <w:t xml:space="preserve"> means fraud, theft, serious misconduct, material breach of confidentiality or IP duties, breach of clause 12, or deliberate falsification such as plagiarism or fabrication in a submission. Cause is established only by written agreement of both Founders or, failing agreement within 14 days, by an expedited arbitration. Neither Founder can remove the other for Cause alone.</w:t>
      </w:r>
    </w:p>
    <w:p>
      <w:pPr/>
      <w:r>
        <w:t xml:space="preserve">11.4 </w:t>
      </w:r>
      <w:r>
        <w:rPr>
          <w:b/>
        </w:rPr>
        <w:t xml:space="preserve">Good Leaver:</w:t>
      </w:r>
      <w:r>
        <w:t xml:space="preserve"> death, permanent incapacity, an exit agreed in writing, or removal without Cause. Vested shares are kept; unvested shares are repurchased at nominal value. </w:t>
      </w:r>
      <w:r>
        <w:rPr>
          <w:b/>
        </w:rPr>
        <w:t xml:space="preserve">Neutral Leaver:</w:t>
      </w:r>
      <w:r>
        <w:t xml:space="preserve"> resignation that is not agreed. Vested shares are kept; unvested lapse; the Company may buy vested shares at Fair Value within 12 months. </w:t>
      </w:r>
      <w:r>
        <w:rPr>
          <w:b/>
        </w:rPr>
        <w:t xml:space="preserve">Bad Leaver:</w:t>
      </w:r>
      <w:r>
        <w:t xml:space="preserve"> removal for Cause. Unvested shares lapse and the Company may buy vested shares at the lower of nominal value and Fair Value [counsel to confirm enforceability].</w:t>
      </w:r>
    </w:p>
    <w:p>
      <w:pPr/>
      <w:r>
        <w:t xml:space="preserve">11.5 </w:t>
      </w:r>
      <w:r>
        <w:rPr>
          <w:b/>
        </w:rPr>
        <w:t xml:space="preserve">Fair Value</w:t>
      </w:r>
      <w:r>
        <w:t xml:space="preserve"> is agreed between the parties, failing which it is set by an independent accountant appointed by the Adviser or the mediator, with no discount for a minority holding. If the Company lacks cash it may pay in up to 4 equal quarterly instalments.</w:t>
      </w:r>
    </w:p>
    <w:p>
      <w:pPr/>
      <w:r>
        <w:t xml:space="preserve">11.6 On leaving, the Founder returns all property, access is revoked within 24 hours, they resign any office, and they confirm in writing that their confidentiality, IP and restrictive-covenant duties continue.</w:t>
      </w:r>
    </w:p>
    <w:p>
      <w:pPr/>
      <w:r>
        <w:t xml:space="preserve">11.7 Shares of a Founder who dies pass to their estate, subject to the Company’s call option at Fair Value for 12 months. The Work Product stays with the Company.</w:t>
      </w:r>
    </w:p>
    <w:p>
      <w:pPr/>
      <w:r>
        <w:t xml:space="preserve">11.8 Removal from an office does not by itself change anyone’s shares.</w:t>
      </w:r>
    </w:p>
    <w:p>
      <w:pPr>
        <w:pStyle w:val="Heading2"/>
      </w:pPr>
      <w:r>
        <w:t xml:space="preserve">12. Restrictive covenants</w:t>
      </w:r>
    </w:p>
    <w:p>
      <w:pPr/>
      <w:r>
        <w:t xml:space="preserve">12.1 While a Founder and for 12 months afterwards, they will not: (a) carry on or be engaged in a business in the Restricted Field in Nigeria that competes with the Business; (b) solicit or hire any BOLTE member or contractor; (c) solicit a BOLTE customer or partner for a competing product; or (d) use BOLTE’s confidential information.</w:t>
      </w:r>
    </w:p>
    <w:p>
      <w:pPr/>
      <w:r>
        <w:t xml:space="preserve">12.2 The Founders agree these restrictions are reasonable and necessary to protect the Business, and that a court may reduce them to what is enforceable [counsel to refine scope and duration].</w:t>
      </w:r>
    </w:p>
    <w:p>
      <w:pPr/>
      <w:r>
        <w:t xml:space="preserve">12.3 Nothing stops a Founder from studying, doing academic research, working outside the Restricted Field, or holding up to 2% of a listed company.</w:t>
      </w:r>
    </w:p>
    <w:p>
      <w:pPr>
        <w:pStyle w:val="Heading2"/>
      </w:pPr>
      <w:r>
        <w:t xml:space="preserve">13. Transfers</w:t>
      </w:r>
    </w:p>
    <w:p>
      <w:pPr/>
      <w:r>
        <w:t xml:space="preserve">13.1 Until [24 months after the Incorporation Date or the close of a funding round, whichever is earlier] neither Founder will sell, transfer, pledge or otherwise deal with their shares without the other’s written consent.</w:t>
      </w:r>
    </w:p>
    <w:p>
      <w:pPr/>
      <w:r>
        <w:t xml:space="preserve">13.2 After that, the other Founder and then the Company have a right of first refusal on any proposed transfer. Drag-along and tag-along terms will go into the articles after a funding round.</w:t>
      </w:r>
    </w:p>
    <w:p>
      <w:pPr>
        <w:pStyle w:val="Heading2"/>
      </w:pPr>
      <w:r>
        <w:t xml:space="preserve">14. Fundraising and sale</w:t>
      </w:r>
    </w:p>
    <w:p>
      <w:pPr/>
      <w:r>
        <w:t xml:space="preserve">14.1 The Founders approach investors together, share every term sheet and promise nothing privately.</w:t>
      </w:r>
    </w:p>
    <w:p>
      <w:pPr/>
      <w:r>
        <w:t xml:space="preserve">14.2 The Founders accept customary pre-seed terms, such as an option-pool top-up, information rights and investor protections, subject to the Reserved Matters.</w:t>
      </w:r>
    </w:p>
    <w:p>
      <w:pPr/>
      <w:r>
        <w:t xml:space="preserve">14.3 Any foreign or state-linked investor, and any sale of the Company, is a Reserved Matter, and counsel must advise before any term sheet is answered.</w:t>
      </w:r>
    </w:p>
    <w:p>
      <w:pPr>
        <w:pStyle w:val="Heading2"/>
      </w:pPr>
      <w:r>
        <w:t xml:space="preserve">15. Information and two-key control</w:t>
      </w:r>
    </w:p>
    <w:p>
      <w:pPr/>
      <w:r>
        <w:t xml:space="preserve">Each Founder has full access to the books, bank statements, repositories and every account. Neither holds sole administrator rights over anything the Business depends on. The Founders hold a monthly one-to-one, take the Founders’ Health Check each quarter and review this Agreement and the cap table each year.</w:t>
      </w:r>
    </w:p>
    <w:p>
      <w:pPr>
        <w:pStyle w:val="Heading2"/>
      </w:pPr>
      <w:r>
        <w:t xml:space="preserve">16. Relationships and conflicts</w:t>
      </w:r>
    </w:p>
    <w:p>
      <w:pPr/>
      <w:r>
        <w:t xml:space="preserve">16.1 Each Founder will declare, in the Conflict-of-Interest Declaration, any family, financial or personal relationship with any member, adviser, supplier, investor or official that could affect their judgement.</w:t>
      </w:r>
    </w:p>
    <w:p>
      <w:pPr/>
      <w:r>
        <w:t xml:space="preserve">16.2 A transaction between the Business and a Founder, or a person connected to a Founder, needs the other Founder’s written consent.</w:t>
      </w:r>
    </w:p>
    <w:p>
      <w:pPr/>
      <w:r>
        <w:t xml:space="preserve">16.3 Neither Founder will criticise the other or BOLTE publicly. Disagreements go through clause 6.</w:t>
      </w:r>
    </w:p>
    <w:p>
      <w:pPr>
        <w:pStyle w:val="Heading2"/>
      </w:pPr>
      <w:r>
        <w:t xml:space="preserve">17. Conversion to the Company</w:t>
      </w:r>
    </w:p>
    <w:p>
      <w:pPr/>
      <w:r>
        <w:t xml:space="preserve">17.1 On the Incorporation Date the Founders will: (a) have the Company adopt this Agreement by a deed of adherence, or enter a shareholders’ agreement that reflects it; (b) adopt articles that reflect it; (c) sign the IP Contribution Deed; and (d) open bank accounts with both as signatories.</w:t>
      </w:r>
    </w:p>
    <w:p>
      <w:pPr/>
      <w:r>
        <w:t xml:space="preserve">17.2 If the articles conflict with this Agreement, the Founders will vote to amend the articles to match.</w:t>
      </w:r>
    </w:p>
    <w:p>
      <w:pPr>
        <w:pStyle w:val="Heading2"/>
      </w:pPr>
      <w:r>
        <w:t xml:space="preserve">18. Governing law and disputes</w:t>
      </w:r>
    </w:p>
    <w:p>
      <w:pPr/>
      <w:r>
        <w:t xml:space="preserve">This Agreement is governed by the laws of the Federal Republic of Nigeria. A dispute not resolved under clause 6 is finally settled by arbitration under the Arbitration and Mediation Act 2023 before a sole arbitrator, seated in Lagos, in English, with remote hearings allowed. The proceedings are confidential. Either party may still apply to a court for urgent relief to protect IP or confidential information.</w:t>
      </w:r>
    </w:p>
    <w:p>
      <w:pPr>
        <w:pStyle w:val="Heading2"/>
      </w:pPr>
      <w:r>
        <w:t xml:space="preserve">19. General</w:t>
      </w:r>
    </w:p>
    <w:p>
      <w:pPr/>
      <w:r>
        <w:t xml:space="preserve">19.1 This Agreement, with the Member MOU, the Confidentiality Undertaking, the IP Assignment and the Equity Model, is the whole agreement on its subject. Between the Founders, this Agreement prevails over the Member MOU. It changes only in a writing signed by both Founders.</w:t>
      </w:r>
    </w:p>
    <w:p>
      <w:pPr/>
      <w:r>
        <w:t xml:space="preserve">19.2 The Founders do not intend a partnership; they intend to incorporate promptly.</w:t>
      </w:r>
    </w:p>
    <w:p>
      <w:pPr/>
      <w:r>
        <w:t xml:space="preserve">19.3 If any provision is unenforceable the rest continues. No delay waives a right. Counterparts and electronic signatures are valid.</w:t>
      </w:r>
    </w:p>
    <w:p>
      <w:pPr/>
      <w:r>
        <w:t xml:space="preserve">19.4 Notices go to the address or email in the signature block and are effective when acknowledged.</w:t>
      </w:r>
    </w:p>
    <w:p>
      <w:pPr/>
      <w:r>
        <w:t xml:space="preserve">19.5 Stamp duty and registration costs are borne by [the Company / equally].</w:t>
      </w:r>
    </w:p>
    <w:p>
      <w:pPr/>
      <w:r>
        <w:t xml:space="preserve">19.6 </w:t>
      </w:r>
      <w:r>
        <w:rPr>
          <w:b/>
        </w:rPr>
        <w:t xml:space="preserve">Independent advice.</w:t>
      </w:r>
      <w:r>
        <w:t xml:space="preserve"> Each Founder confirms that they were advised to take independent legal advice and have either done so or chosen not to.</w:t>
      </w:r>
    </w:p>
    <w:p>
      <w:pPr>
        <w:pStyle w:val="Heading2"/>
      </w:pPr>
      <w:r>
        <w:t xml:space="preserve">Signatures</w:t>
      </w:r>
    </w:p>
    <w:p>
      <w:pPr/>
      <w:r>
        <w:rPr>
          <w:b/>
        </w:rPr>
        <w:t xml:space="preserve">Signed by ABDULLAHI BABA GARBA</w:t>
      </w:r>
      <w:r>
        <w:t xml:space="preserve"> | Signature: ____________ | Date: ________ Witness: name ____________ address ____________ occupation ____________ signature ____________</w:t>
      </w:r>
    </w:p>
    <w:p>
      <w:pPr/>
      <w:r>
        <w:rPr>
          <w:b/>
        </w:rPr>
        <w:t xml:space="preserve">Signed by ESSIEN FRANCES EKOMOBONG</w:t>
      </w:r>
      <w:r>
        <w:t xml:space="preserve"> | Signature: ____________ | Date: ________ Witness: name ____________ address ____________ occupation ____________ signature ____________</w:t>
      </w:r>
    </w:p>
    <w:p>
      <w:pPr>
        <w:pStyle w:val="Heading2"/>
      </w:pPr>
      <w:r>
        <w:t xml:space="preserve">Schedule 1: Final say by domain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Domain</w:t>
            </w:r>
          </w:p>
        </w:tc>
        <w:tc>
          <w:tcPr>
            <w:tcW w:w="4680" w:type="dxa"/>
            <w:shd w:val="clear" w:color="auto" w:fill="F2F2F2"/>
          </w:tcPr>
          <w:p>
            <w:pPr/>
            <w:r>
              <w:t xml:space="preserve">Decides</w:t>
            </w:r>
          </w:p>
        </w:tc>
      </w:tr>
      <w:tr>
        <w:tc>
          <w:tcPr>
            <w:tcW w:w="4680" w:type="dxa"/>
          </w:tcPr>
          <w:p>
            <w:pPr/>
            <w:r>
              <w:t xml:space="preserve">Technical architecture, product roadmap, engineering priorities, release and demo approval, technical hires within budget</w:t>
            </w:r>
          </w:p>
        </w:tc>
        <w:tc>
          <w:tcPr>
            <w:tcW w:w="4680" w:type="dxa"/>
          </w:tcPr>
          <w:p>
            <w:pPr/>
            <w:r>
              <w:t xml:space="preserve">CEO/CTO</w:t>
            </w:r>
          </w:p>
        </w:tc>
      </w:tr>
      <w:tr>
        <w:tc>
          <w:tcPr>
            <w:tcW w:w="4680" w:type="dxa"/>
          </w:tcPr>
          <w:p>
            <w:pPr/>
            <w:r>
              <w:t xml:space="preserve">Operations, compliance filings, research programme, procurement within budget, partnerships execution within approved terms, member process</w:t>
            </w:r>
          </w:p>
        </w:tc>
        <w:tc>
          <w:tcPr>
            <w:tcW w:w="4680" w:type="dxa"/>
          </w:tcPr>
          <w:p>
            <w:pPr/>
            <w:r>
              <w:t xml:space="preserve">COO &amp; Research Lead</w:t>
            </w:r>
          </w:p>
        </w:tc>
      </w:tr>
      <w:tr>
        <w:tc>
          <w:tcPr>
            <w:tcW w:w="4680" w:type="dxa"/>
          </w:tcPr>
          <w:p>
            <w:pPr/>
            <w:r>
              <w:t xml:space="preserve">Safety Stop on a build or test</w:t>
            </w:r>
          </w:p>
        </w:tc>
        <w:tc>
          <w:tcPr>
            <w:tcW w:w="4680" w:type="dxa"/>
          </w:tcPr>
          <w:p>
            <w:pPr/>
            <w:r>
              <w:t xml:space="preserve">Any engineer; stands until the Lead Engineer and CEO review</w:t>
            </w:r>
          </w:p>
        </w:tc>
      </w:tr>
    </w:tbl>
    <w:p>
      <w:pPr>
        <w:pStyle w:val="Heading2"/>
      </w:pPr>
      <w:r>
        <w:t xml:space="preserve">Schedule 2: Commitment Standard (weekly, plus the weekly review)</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Founder</w:t>
            </w:r>
          </w:p>
        </w:tc>
        <w:tc>
          <w:tcPr>
            <w:tcW w:w="4680" w:type="dxa"/>
            <w:shd w:val="clear" w:color="auto" w:fill="F2F2F2"/>
          </w:tcPr>
          <w:p>
            <w:pPr/>
            <w:r>
              <w:t xml:space="preserve">Minimum</w:t>
            </w:r>
          </w:p>
        </w:tc>
      </w:tr>
      <w:tr>
        <w:tc>
          <w:tcPr>
            <w:tcW w:w="4680" w:type="dxa"/>
          </w:tcPr>
          <w:p>
            <w:pPr/>
            <w:r>
              <w:t xml:space="preserve">CEO/CTO</w:t>
            </w:r>
          </w:p>
        </w:tc>
        <w:tc>
          <w:tcPr>
            <w:tcW w:w="4680" w:type="dxa"/>
          </w:tcPr>
          <w:p>
            <w:pPr/>
            <w:r>
              <w:t xml:space="preserve">[25] hours</w:t>
            </w:r>
          </w:p>
        </w:tc>
      </w:tr>
      <w:tr>
        <w:tc>
          <w:tcPr>
            <w:tcW w:w="4680" w:type="dxa"/>
          </w:tcPr>
          <w:p>
            <w:pPr/>
            <w:r>
              <w:t xml:space="preserve">COO &amp; Research Lead</w:t>
            </w:r>
          </w:p>
        </w:tc>
        <w:tc>
          <w:tcPr>
            <w:tcW w:w="4680" w:type="dxa"/>
          </w:tcPr>
          <w:p>
            <w:pPr/>
            <w:r>
              <w:t xml:space="preserve">[12] hours</w:t>
            </w:r>
          </w:p>
        </w:tc>
      </w:tr>
    </w:tbl>
    <w:p>
      <w:pPr>
        <w:pStyle w:val="Heading2"/>
      </w:pPr>
      <w:r>
        <w:t xml:space="preserve">Schedule 3: Reserved Matters</w:t>
      </w:r>
    </w:p>
    <w:p>
      <w:pPr/>
      <w:r>
        <w:t xml:space="preserve">Issuing or promising shares, options or profit shares; any IP assignment, licence, publication or open-sourcing; any government, military or security-agency engagement; any foreign investor or foreign-linked partner; borrowing, guarantees or security; budgets and spending above the Schedule 4 thresholds; admitting, suspending or removing a member; changing the Canon or the ethics guardrails; related-party transactions; starting or settling legal proceedings; opening or closing bank accounts; changing the Company’s name, articles or share capital; selling the Company or its core IP; winding up.</w:t>
      </w:r>
    </w:p>
    <w:p>
      <w:pPr>
        <w:pStyle w:val="Heading2"/>
      </w:pPr>
      <w:r>
        <w:t xml:space="preserve">Schedule 4: Spend authority [edit once, here]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Amount per item</w:t>
            </w:r>
          </w:p>
        </w:tc>
        <w:tc>
          <w:tcPr>
            <w:tcW w:w="4680" w:type="dxa"/>
            <w:shd w:val="clear" w:color="auto" w:fill="F2F2F2"/>
          </w:tcPr>
          <w:p>
            <w:pPr/>
            <w:r>
              <w:t xml:space="preserve">Approval</w:t>
            </w:r>
          </w:p>
        </w:tc>
      </w:tr>
      <w:tr>
        <w:tc>
          <w:tcPr>
            <w:tcW w:w="4680" w:type="dxa"/>
          </w:tcPr>
          <w:p>
            <w:pPr/>
            <w:r>
              <w:t xml:space="preserve">Up to ₦20,000 (monthly cap ₦100,000 per role owner)</w:t>
            </w:r>
          </w:p>
        </w:tc>
        <w:tc>
          <w:tcPr>
            <w:tcW w:w="4680" w:type="dxa"/>
          </w:tcPr>
          <w:p>
            <w:pPr/>
            <w:r>
              <w:t xml:space="preserve">Role owner within the approved monthly budget</w:t>
            </w:r>
          </w:p>
        </w:tc>
      </w:tr>
      <w:tr>
        <w:tc>
          <w:tcPr>
            <w:tcW w:w="4680" w:type="dxa"/>
          </w:tcPr>
          <w:p>
            <w:pPr/>
            <w:r>
              <w:t xml:space="preserve">₦20,001 to ₦50,000</w:t>
            </w:r>
          </w:p>
        </w:tc>
        <w:tc>
          <w:tcPr>
            <w:tcW w:w="4680" w:type="dxa"/>
          </w:tcPr>
          <w:p>
            <w:pPr/>
            <w:r>
              <w:t xml:space="preserve">Either Founder</w:t>
            </w:r>
          </w:p>
        </w:tc>
      </w:tr>
      <w:tr>
        <w:tc>
          <w:tcPr>
            <w:tcW w:w="4680" w:type="dxa"/>
          </w:tcPr>
          <w:p>
            <w:pPr/>
            <w:r>
              <w:t xml:space="preserve">Above ₦50,000</w:t>
            </w:r>
          </w:p>
        </w:tc>
        <w:tc>
          <w:tcPr>
            <w:tcW w:w="4680" w:type="dxa"/>
          </w:tcPr>
          <w:p>
            <w:pPr/>
            <w:r>
              <w:t xml:space="preserve">Both Founders in writing</w:t>
            </w:r>
          </w:p>
        </w:tc>
      </w:tr>
      <w:tr>
        <w:tc>
          <w:tcPr>
            <w:tcW w:w="4680" w:type="dxa"/>
          </w:tcPr>
          <w:p>
            <w:pPr/>
            <w:r>
              <w:t xml:space="preserve">Above ₦500,000 or a commitment over 6 months</w:t>
            </w:r>
          </w:p>
        </w:tc>
        <w:tc>
          <w:tcPr>
            <w:tcW w:w="4680" w:type="dxa"/>
          </w:tcPr>
          <w:p>
            <w:pPr/>
            <w:r>
              <w:t xml:space="preserve">Both Founders after written Adviser advice</w:t>
            </w:r>
          </w:p>
        </w:tc>
      </w:tr>
    </w:tbl>
    <w:p>
      <w:pPr>
        <w:pStyle w:val="Heading2"/>
      </w:pPr>
      <w:r>
        <w:t xml:space="preserve">Schedule 5: Prior IP and IP Contribution register</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w:t>
            </w:r>
          </w:p>
        </w:tc>
        <w:tc>
          <w:tcPr>
            <w:tcW w:w="1337" w:type="dxa"/>
            <w:shd w:val="clear" w:color="auto" w:fill="F2F2F2"/>
          </w:tcPr>
          <w:p>
            <w:pPr/>
            <w:r>
              <w:t xml:space="preserve">Asset</w:t>
            </w:r>
          </w:p>
        </w:tc>
        <w:tc>
          <w:tcPr>
            <w:tcW w:w="1337" w:type="dxa"/>
            <w:shd w:val="clear" w:color="auto" w:fill="F2F2F2"/>
          </w:tcPr>
          <w:p>
            <w:pPr/>
            <w:r>
              <w:t xml:space="preserve">Location</w:t>
            </w:r>
          </w:p>
        </w:tc>
        <w:tc>
          <w:tcPr>
            <w:tcW w:w="1337" w:type="dxa"/>
            <w:shd w:val="clear" w:color="auto" w:fill="F2F2F2"/>
          </w:tcPr>
          <w:p>
            <w:pPr/>
            <w:r>
              <w:t xml:space="preserve">Author(s)</w:t>
            </w:r>
          </w:p>
        </w:tc>
        <w:tc>
          <w:tcPr>
            <w:tcW w:w="1337" w:type="dxa"/>
            <w:shd w:val="clear" w:color="auto" w:fill="F2F2F2"/>
          </w:tcPr>
          <w:p>
            <w:pPr/>
            <w:r>
              <w:t xml:space="preserve">First created</w:t>
            </w:r>
          </w:p>
        </w:tc>
        <w:tc>
          <w:tcPr>
            <w:tcW w:w="1337" w:type="dxa"/>
            <w:shd w:val="clear" w:color="auto" w:fill="F2F2F2"/>
          </w:tcPr>
          <w:p>
            <w:pPr/>
            <w:r>
              <w:t xml:space="preserve">Third-party or university resources used?</w:t>
            </w:r>
          </w:p>
        </w:tc>
        <w:tc>
          <w:tcPr>
            <w:tcW w:w="1337" w:type="dxa"/>
            <w:shd w:val="clear" w:color="auto" w:fill="F2F2F2"/>
          </w:tcPr>
          <w:p>
            <w:pPr/>
            <w:r>
              <w:t xml:space="preserve">Licence status</w:t>
            </w:r>
          </w:p>
        </w:tc>
      </w:tr>
      <w:tr>
        <w:tc>
          <w:tcPr>
            <w:tcW w:w="1337" w:type="dxa"/>
          </w:tcPr>
          <w:p>
            <w:pPr/>
            <w:r>
              <w:t xml:space="preserve">1</w:t>
            </w:r>
          </w:p>
        </w:tc>
        <w:tc>
          <w:tcPr>
            <w:tcW w:w="1337" w:type="dxa"/>
          </w:tcPr>
          <w:p>
            <w:pPr/>
            <w:r>
              <w:t xml:space="preserve">AeroPulse-NG (code, specifications, tests)</w:t>
            </w:r>
          </w:p>
        </w:tc>
        <w:tc>
          <w:tcPr>
            <w:tcW w:w="1337" w:type="dxa"/>
          </w:tcPr>
          <w:p>
            <w:pPr/>
            <w:r>
              <w:t xml:space="preserve">[repository]</w:t>
            </w:r>
          </w:p>
        </w:tc>
        <w:tc>
          <w:tcPr>
            <w:tcW w:w="1337" w:type="dxa"/>
          </w:tcPr>
          <w:p>
            <w:pPr/>
            <w:r>
              <w:t xml:space="preserve">[complete]</w:t>
            </w:r>
          </w:p>
        </w:tc>
        <w:tc>
          <w:tcPr>
            <w:tcW w:w="1337" w:type="dxa"/>
          </w:tcPr>
          <w:p>
            <w:pPr/>
            <w:r>
              <w:t xml:space="preserve">[date]</w:t>
            </w:r>
          </w:p>
        </w:tc>
        <w:tc>
          <w:tcPr>
            <w:tcW w:w="1337" w:type="dxa"/>
          </w:tcPr>
          <w:p>
            <w:pPr/>
            <w:r>
              <w:t xml:space="preserve">[complete]</w:t>
            </w:r>
          </w:p>
        </w:tc>
        <w:tc>
          <w:tcPr>
            <w:tcW w:w="1337" w:type="dxa"/>
          </w:tcPr>
          <w:p>
            <w:pPr/>
            <w:r>
              <w:t xml:space="preserve">[complete]</w:t>
            </w:r>
          </w:p>
        </w:tc>
      </w:tr>
      <w:tr>
        <w:tc>
          <w:tcPr>
            <w:tcW w:w="1337" w:type="dxa"/>
          </w:tcPr>
          <w:p>
            <w:pPr/>
            <w:r>
              <w:t xml:space="preserve">2</w:t>
            </w:r>
          </w:p>
        </w:tc>
        <w:tc>
          <w:tcPr>
            <w:tcW w:w="1337" w:type="dxa"/>
          </w:tcPr>
          <w:p>
            <w:pPr/>
            <w:r>
              <w:t xml:space="preserve">ASOL specification pack</w:t>
            </w:r>
          </w:p>
        </w:tc>
        <w:tc>
          <w:tcPr>
            <w:tcW w:w="1337" w:type="dxa"/>
          </w:tcPr>
          <w:p>
            <w:pPr/>
            <w:r>
              <w:t xml:space="preserve">[repository]</w:t>
            </w:r>
          </w:p>
        </w:tc>
        <w:tc>
          <w:tcPr>
            <w:tcW w:w="1337" w:type="dxa"/>
          </w:tcPr>
          <w:p>
            <w:pPr/>
            <w:r>
              <w:t xml:space="preserve">[complete]</w:t>
            </w:r>
          </w:p>
        </w:tc>
        <w:tc>
          <w:tcPr>
            <w:tcW w:w="1337" w:type="dxa"/>
          </w:tcPr>
          <w:p>
            <w:pPr/>
            <w:r>
              <w:t xml:space="preserve">[date]</w:t>
            </w:r>
          </w:p>
        </w:tc>
        <w:tc>
          <w:tcPr>
            <w:tcW w:w="1337" w:type="dxa"/>
          </w:tcPr>
          <w:p>
            <w:pPr/>
            <w:r>
              <w:t xml:space="preserve">[complete]</w:t>
            </w:r>
          </w:p>
        </w:tc>
        <w:tc>
          <w:tcPr>
            <w:tcW w:w="1337" w:type="dxa"/>
          </w:tcPr>
          <w:p>
            <w:pPr/>
            <w:r>
              <w:t xml:space="preserve">[complete]</w:t>
            </w:r>
          </w:p>
        </w:tc>
      </w:tr>
      <w:tr>
        <w:tc>
          <w:tcPr>
            <w:tcW w:w="1337" w:type="dxa"/>
          </w:tcPr>
          <w:p>
            <w:pPr/>
            <w:r>
              <w:t xml:space="preserve">3</w:t>
            </w:r>
          </w:p>
        </w:tc>
        <w:tc>
          <w:tcPr>
            <w:tcW w:w="1337" w:type="dxa"/>
          </w:tcPr>
          <w:p>
            <w:pPr/>
            <w:r>
              <w:t xml:space="preserve">DAFV specification pack</w:t>
            </w:r>
          </w:p>
        </w:tc>
        <w:tc>
          <w:tcPr>
            <w:tcW w:w="1337" w:type="dxa"/>
          </w:tcPr>
          <w:p>
            <w:pPr/>
            <w:r>
              <w:t xml:space="preserve">[repository]</w:t>
            </w:r>
          </w:p>
        </w:tc>
        <w:tc>
          <w:tcPr>
            <w:tcW w:w="1337" w:type="dxa"/>
          </w:tcPr>
          <w:p>
            <w:pPr/>
            <w:r>
              <w:t xml:space="preserve">[complete]</w:t>
            </w:r>
          </w:p>
        </w:tc>
        <w:tc>
          <w:tcPr>
            <w:tcW w:w="1337" w:type="dxa"/>
          </w:tcPr>
          <w:p>
            <w:pPr/>
            <w:r>
              <w:t xml:space="preserve">[date]</w:t>
            </w:r>
          </w:p>
        </w:tc>
        <w:tc>
          <w:tcPr>
            <w:tcW w:w="1337" w:type="dxa"/>
          </w:tcPr>
          <w:p>
            <w:pPr/>
            <w:r>
              <w:t xml:space="preserve">[complete]</w:t>
            </w:r>
          </w:p>
        </w:tc>
        <w:tc>
          <w:tcPr>
            <w:tcW w:w="1337" w:type="dxa"/>
          </w:tcPr>
          <w:p>
            <w:pPr/>
            <w:r>
              <w:t xml:space="preserve">[complete]</w:t>
            </w:r>
          </w:p>
        </w:tc>
      </w:tr>
      <w:tr>
        <w:tc>
          <w:tcPr>
            <w:tcW w:w="1337" w:type="dxa"/>
          </w:tcPr>
          <w:p>
            <w:pPr/>
            <w:r>
              <w:t xml:space="preserve">4</w:t>
            </w:r>
          </w:p>
        </w:tc>
        <w:tc>
          <w:tcPr>
            <w:tcW w:w="1337" w:type="dxa"/>
          </w:tcPr>
          <w:p>
            <w:pPr/>
            <w:r>
              <w:t xml:space="preserve">C4ISR-DFE specification pack</w:t>
            </w:r>
          </w:p>
        </w:tc>
        <w:tc>
          <w:tcPr>
            <w:tcW w:w="1337" w:type="dxa"/>
          </w:tcPr>
          <w:p>
            <w:pPr/>
            <w:r>
              <w:t xml:space="preserve">[repository]</w:t>
            </w:r>
          </w:p>
        </w:tc>
        <w:tc>
          <w:tcPr>
            <w:tcW w:w="1337" w:type="dxa"/>
          </w:tcPr>
          <w:p>
            <w:pPr/>
            <w:r>
              <w:t xml:space="preserve">[complete]</w:t>
            </w:r>
          </w:p>
        </w:tc>
        <w:tc>
          <w:tcPr>
            <w:tcW w:w="1337" w:type="dxa"/>
          </w:tcPr>
          <w:p>
            <w:pPr/>
            <w:r>
              <w:t xml:space="preserve">[date]</w:t>
            </w:r>
          </w:p>
        </w:tc>
        <w:tc>
          <w:tcPr>
            <w:tcW w:w="1337" w:type="dxa"/>
          </w:tcPr>
          <w:p>
            <w:pPr/>
            <w:r>
              <w:t xml:space="preserve">[complete]</w:t>
            </w:r>
          </w:p>
        </w:tc>
        <w:tc>
          <w:tcPr>
            <w:tcW w:w="1337" w:type="dxa"/>
          </w:tcPr>
          <w:p>
            <w:pPr/>
            <w:r>
              <w:t xml:space="preserve">[complete]</w:t>
            </w:r>
          </w:p>
        </w:tc>
      </w:tr>
      <w:tr>
        <w:tc>
          <w:tcPr>
            <w:tcW w:w="1337" w:type="dxa"/>
          </w:tcPr>
          <w:p>
            <w:pPr/>
            <w:r>
              <w:t xml:space="preserve">5</w:t>
            </w:r>
          </w:p>
        </w:tc>
        <w:tc>
          <w:tcPr>
            <w:tcW w:w="1337" w:type="dxa"/>
          </w:tcPr>
          <w:p>
            <w:pPr/>
            <w:r>
              <w:t xml:space="preserve">TBR-HS specification pack</w:t>
            </w:r>
          </w:p>
        </w:tc>
        <w:tc>
          <w:tcPr>
            <w:tcW w:w="1337" w:type="dxa"/>
          </w:tcPr>
          <w:p>
            <w:pPr/>
            <w:r>
              <w:t xml:space="preserve">[repository]</w:t>
            </w:r>
          </w:p>
        </w:tc>
        <w:tc>
          <w:tcPr>
            <w:tcW w:w="1337" w:type="dxa"/>
          </w:tcPr>
          <w:p>
            <w:pPr/>
            <w:r>
              <w:t xml:space="preserve">[complete]</w:t>
            </w:r>
          </w:p>
        </w:tc>
        <w:tc>
          <w:tcPr>
            <w:tcW w:w="1337" w:type="dxa"/>
          </w:tcPr>
          <w:p>
            <w:pPr/>
            <w:r>
              <w:t xml:space="preserve">[date]</w:t>
            </w:r>
          </w:p>
        </w:tc>
        <w:tc>
          <w:tcPr>
            <w:tcW w:w="1337" w:type="dxa"/>
          </w:tcPr>
          <w:p>
            <w:pPr/>
            <w:r>
              <w:t xml:space="preserve">[complete]</w:t>
            </w:r>
          </w:p>
        </w:tc>
        <w:tc>
          <w:tcPr>
            <w:tcW w:w="1337" w:type="dxa"/>
          </w:tcPr>
          <w:p>
            <w:pPr/>
            <w:r>
              <w:t xml:space="preserve">[complete]</w:t>
            </w:r>
          </w:p>
        </w:tc>
      </w:tr>
      <w:tr>
        <w:tc>
          <w:tcPr>
            <w:tcW w:w="1337" w:type="dxa"/>
          </w:tcPr>
          <w:p>
            <w:pPr/>
            <w:r>
              <w:t xml:space="preserve">6</w:t>
            </w:r>
          </w:p>
        </w:tc>
        <w:tc>
          <w:tcPr>
            <w:tcW w:w="1337" w:type="dxa"/>
          </w:tcPr>
          <w:p>
            <w:pPr/>
            <w:r>
              <w:t xml:space="preserve">HFP-X programme documents and drawings DWG-001 to DWG-009</w:t>
            </w:r>
          </w:p>
        </w:tc>
        <w:tc>
          <w:tcPr>
            <w:tcW w:w="1337" w:type="dxa"/>
          </w:tcPr>
          <w:p>
            <w:pPr/>
            <w:r>
              <w:t xml:space="preserve">[repository]</w:t>
            </w:r>
          </w:p>
        </w:tc>
        <w:tc>
          <w:tcPr>
            <w:tcW w:w="1337" w:type="dxa"/>
          </w:tcPr>
          <w:p>
            <w:pPr/>
            <w:r>
              <w:t xml:space="preserve">[complete]</w:t>
            </w:r>
          </w:p>
        </w:tc>
        <w:tc>
          <w:tcPr>
            <w:tcW w:w="1337" w:type="dxa"/>
          </w:tcPr>
          <w:p>
            <w:pPr/>
            <w:r>
              <w:t xml:space="preserve">[date]</w:t>
            </w:r>
          </w:p>
        </w:tc>
        <w:tc>
          <w:tcPr>
            <w:tcW w:w="1337" w:type="dxa"/>
          </w:tcPr>
          <w:p>
            <w:pPr/>
            <w:r>
              <w:t xml:space="preserve">[complete]</w:t>
            </w:r>
          </w:p>
        </w:tc>
        <w:tc>
          <w:tcPr>
            <w:tcW w:w="1337" w:type="dxa"/>
          </w:tcPr>
          <w:p>
            <w:pPr/>
            <w:r>
              <w:t xml:space="preserve">[complete]</w:t>
            </w:r>
          </w:p>
        </w:tc>
      </w:tr>
      <w:tr>
        <w:tc>
          <w:tcPr>
            <w:tcW w:w="1337" w:type="dxa"/>
          </w:tcPr>
          <w:p>
            <w:pPr/>
            <w:r>
              <w:t xml:space="preserve">7</w:t>
            </w:r>
          </w:p>
        </w:tc>
        <w:tc>
          <w:tcPr>
            <w:tcW w:w="1337" w:type="dxa"/>
          </w:tcPr>
          <w:p>
            <w:pPr/>
            <w:r>
              <w:t xml:space="preserve">BOLTE Canon, documents, website and brand assets</w:t>
            </w:r>
          </w:p>
        </w:tc>
        <w:tc>
          <w:tcPr>
            <w:tcW w:w="1337" w:type="dxa"/>
          </w:tcPr>
          <w:p>
            <w:pPr/>
            <w:r>
              <w:t xml:space="preserve">[repository]</w:t>
            </w:r>
          </w:p>
        </w:tc>
        <w:tc>
          <w:tcPr>
            <w:tcW w:w="1337" w:type="dxa"/>
          </w:tcPr>
          <w:p>
            <w:pPr/>
            <w:r>
              <w:t xml:space="preserve">[complete]</w:t>
            </w:r>
          </w:p>
        </w:tc>
        <w:tc>
          <w:tcPr>
            <w:tcW w:w="1337" w:type="dxa"/>
          </w:tcPr>
          <w:p>
            <w:pPr/>
            <w:r>
              <w:t xml:space="preserve">[date]</w:t>
            </w:r>
          </w:p>
        </w:tc>
        <w:tc>
          <w:tcPr>
            <w:tcW w:w="1337" w:type="dxa"/>
          </w:tcPr>
          <w:p>
            <w:pPr/>
            <w:r>
              <w:t xml:space="preserve">[complete]</w:t>
            </w:r>
          </w:p>
        </w:tc>
        <w:tc>
          <w:tcPr>
            <w:tcW w:w="1337" w:type="dxa"/>
          </w:tcPr>
          <w:p>
            <w:pPr/>
            <w:r>
              <w:t xml:space="preserve">[complete]</w:t>
            </w:r>
          </w:p>
        </w:tc>
      </w:tr>
    </w:tbl>
    <w:p>
      <w:pPr>
        <w:pStyle w:val="Heading2"/>
      </w:pPr>
      <w:r>
        <w:t xml:space="preserve">Schedule 6: Vesting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Term</w:t>
            </w:r>
          </w:p>
        </w:tc>
      </w:tr>
      <w:tr>
        <w:tc>
          <w:tcPr>
            <w:tcW w:w="4680" w:type="dxa"/>
          </w:tcPr>
          <w:p>
            <w:pPr/>
            <w:r>
              <w:t xml:space="preserve">Founder shares</w:t>
            </w:r>
          </w:p>
        </w:tc>
        <w:tc>
          <w:tcPr>
            <w:tcW w:w="4680" w:type="dxa"/>
          </w:tcPr>
          <w:p>
            <w:pPr/>
            <w:r>
              <w:t xml:space="preserve">48 months from the Effective Date; 25% vests at 12 months; the rest monthly</w:t>
            </w:r>
          </w:p>
        </w:tc>
      </w:tr>
      <w:tr>
        <w:tc>
          <w:tcPr>
            <w:tcW w:w="4680" w:type="dxa"/>
          </w:tcPr>
          <w:p>
            <w:pPr/>
            <w:r>
              <w:t xml:space="preserve">IP Contribution Shares (if Option A)</w:t>
            </w:r>
          </w:p>
        </w:tc>
        <w:tc>
          <w:tcPr>
            <w:tcW w:w="4680" w:type="dxa"/>
          </w:tcPr>
          <w:p>
            <w:pPr/>
            <w:r>
              <w:t xml:space="preserve">Vested on completion of the IP Contribution Deed; repurchasable only if the IP warranties prove false</w:t>
            </w:r>
          </w:p>
        </w:tc>
      </w:tr>
      <w:tr>
        <w:tc>
          <w:tcPr>
            <w:tcW w:w="4680" w:type="dxa"/>
          </w:tcPr>
          <w:p>
            <w:pPr/>
            <w:r>
              <w:t xml:space="preserve">Pause</w:t>
            </w:r>
          </w:p>
        </w:tc>
        <w:tc>
          <w:tcPr>
            <w:tcW w:w="4680" w:type="dxa"/>
          </w:tcPr>
          <w:p>
            <w:pPr/>
            <w:r>
              <w:t xml:space="preserve">A month below the Commitment Standard, without approved leave, does not vest</w:t>
            </w:r>
          </w:p>
        </w:tc>
      </w:tr>
      <w:tr>
        <w:tc>
          <w:tcPr>
            <w:tcW w:w="4680" w:type="dxa"/>
          </w:tcPr>
          <w:p>
            <w:pPr/>
            <w:r>
              <w:t xml:space="preserve">Sale of the Company</w:t>
            </w:r>
          </w:p>
        </w:tc>
        <w:tc>
          <w:tcPr>
            <w:tcW w:w="4680" w:type="dxa"/>
          </w:tcPr>
          <w:p>
            <w:pPr/>
            <w:r>
              <w:t xml:space="preserve">50% of unvested shares vest if the holder is terminated without Cause within 12 months after a sale [counsel to confirm]</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Founders’ Agreement — BOLTE (Draft v1.0)</dc:title>
  <dc:description>Claude Docs node/96fe8edc-eba0@1 docx-w6</dc:description>
  <cp:revision>1</cp:revision>
</cp:coreProperties>
</file>