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Member Collaboration MOU &amp; Terms and Conditions — BOLTE (Draft v1.0)</w:t>
      </w:r>
    </w:p>
    <w:p>
      <w:pPr/>
      <w:r>
        <w:t xml:space="preserve">Oct 2, 2026</w:t>
      </w:r>
      <w:r>
        <w:t xml:space="preserve"> · </w:t>
      </w:r>
      <w:r>
        <w:t xml:space="preserve">@Garba Abdullahi Baba</w:t>
      </w:r>
    </w:p>
    <w:p>
      <w:pPr/>
      <w:r>
        <w:rPr>
          <w:i/>
        </w:rPr>
        <w:t xml:space="preserve">Pre-incorporation agreement between the two Founders and the four Core Team Members. It replaces the MOU template v0.2. Draft for review by Nigerian counsel before anyone signs. Not legal advice.</w:t>
      </w:r>
    </w:p>
    <w:p>
      <w:pPr>
        <w:pStyle w:val="Heading2"/>
      </w:pPr>
      <w:r>
        <w:t xml:space="preserve">Key terms at a glance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What it says</w:t>
            </w:r>
          </w:p>
        </w:tc>
        <w:tc>
          <w:tcPr>
            <w:tcW w:w="3120" w:type="dxa"/>
            <w:shd w:val="clear" w:color="auto" w:fill="F2F2F2"/>
          </w:tcPr>
          <w:p>
            <w:pPr/>
            <w:r>
              <w:t xml:space="preserve">Clause</w:t>
            </w:r>
          </w:p>
        </w:tc>
      </w:tr>
      <w:tr>
        <w:tc>
          <w:tcPr>
            <w:tcW w:w="3120" w:type="dxa"/>
          </w:tcPr>
          <w:p>
            <w:pPr/>
            <w:r>
              <w:t xml:space="preserve">What this is</w:t>
            </w:r>
          </w:p>
        </w:tc>
        <w:tc>
          <w:tcPr>
            <w:tcW w:w="3120" w:type="dxa"/>
          </w:tcPr>
          <w:p>
            <w:pPr/>
            <w:r>
              <w:t xml:space="preserve">A collaboration agreement, not employment and not a partnership</w:t>
            </w:r>
          </w:p>
        </w:tc>
        <w:tc>
          <w:tcPr>
            <w:tcW w:w="3120" w:type="dxa"/>
          </w:tcPr>
          <w:p>
            <w:pPr/>
            <w:r>
              <w:t xml:space="preserve">2</w:t>
            </w:r>
          </w:p>
        </w:tc>
      </w:tr>
      <w:tr>
        <w:tc>
          <w:tcPr>
            <w:tcW w:w="3120" w:type="dxa"/>
          </w:tcPr>
          <w:p>
            <w:pPr/>
            <w:r>
              <w:t xml:space="preserve">Your weekly commitment</w:t>
            </w:r>
          </w:p>
        </w:tc>
        <w:tc>
          <w:tcPr>
            <w:tcW w:w="3120" w:type="dxa"/>
          </w:tcPr>
          <w:p>
            <w:pPr/>
            <w:r>
              <w:t xml:space="preserve">A minimum per seat (Schedule B); a month below it does not vest</w:t>
            </w:r>
          </w:p>
        </w:tc>
        <w:tc>
          <w:tcPr>
            <w:tcW w:w="3120" w:type="dxa"/>
          </w:tcPr>
          <w:p>
            <w:pPr/>
            <w:r>
              <w:t xml:space="preserve">4, Sch B</w:t>
            </w:r>
          </w:p>
        </w:tc>
      </w:tr>
      <w:tr>
        <w:tc>
          <w:tcPr>
            <w:tcW w:w="3120" w:type="dxa"/>
          </w:tcPr>
          <w:p>
            <w:pPr/>
            <w:r>
              <w:t xml:space="preserve">Cash from prizes and grants</w:t>
            </w:r>
          </w:p>
        </w:tc>
        <w:tc>
          <w:tcPr>
            <w:tcW w:w="3120" w:type="dxa"/>
          </w:tcPr>
          <w:p>
            <w:pPr/>
            <w:r>
              <w:t xml:space="preserve">Your 70 / 6 / 6 / 4.5 × 4 waterfall, until the CAC certificate</w:t>
            </w:r>
          </w:p>
        </w:tc>
        <w:tc>
          <w:tcPr>
            <w:tcW w:w="3120" w:type="dxa"/>
          </w:tcPr>
          <w:p>
            <w:pPr/>
            <w:r>
              <w:t xml:space="preserve">6, Sch C</w:t>
            </w:r>
          </w:p>
        </w:tc>
      </w:tr>
      <w:tr>
        <w:tc>
          <w:tcPr>
            <w:tcW w:w="3120" w:type="dxa"/>
          </w:tcPr>
          <w:p>
            <w:pPr/>
            <w:r>
              <w:t xml:space="preserve">Ownership</w:t>
            </w:r>
          </w:p>
        </w:tc>
        <w:tc>
          <w:tcPr>
            <w:tcW w:w="3120" w:type="dxa"/>
          </w:tcPr>
          <w:p>
            <w:pPr/>
            <w:r>
              <w:t xml:space="preserve">A binding commitment to allot you shares at incorporation, vesting over 4 years</w:t>
            </w:r>
          </w:p>
        </w:tc>
        <w:tc>
          <w:tcPr>
            <w:tcW w:w="3120" w:type="dxa"/>
          </w:tcPr>
          <w:p>
            <w:pPr/>
            <w:r>
              <w:t xml:space="preserve">7, Sch D</w:t>
            </w:r>
          </w:p>
        </w:tc>
      </w:tr>
      <w:tr>
        <w:tc>
          <w:tcPr>
            <w:tcW w:w="3120" w:type="dxa"/>
          </w:tcPr>
          <w:p>
            <w:pPr/>
            <w:r>
              <w:t xml:space="preserve">IP</w:t>
            </w:r>
          </w:p>
        </w:tc>
        <w:tc>
          <w:tcPr>
            <w:tcW w:w="3120" w:type="dxa"/>
          </w:tcPr>
          <w:p>
            <w:pPr/>
            <w:r>
              <w:t xml:space="preserve">Everything you make for BOLTE belongs to BOLTE; your prior IP stays yours if you list it</w:t>
            </w:r>
          </w:p>
        </w:tc>
        <w:tc>
          <w:tcPr>
            <w:tcW w:w="3120" w:type="dxa"/>
          </w:tcPr>
          <w:p>
            <w:pPr/>
            <w:r>
              <w:t xml:space="preserve">8</w:t>
            </w:r>
          </w:p>
        </w:tc>
      </w:tr>
      <w:tr>
        <w:tc>
          <w:tcPr>
            <w:tcW w:w="3120" w:type="dxa"/>
          </w:tcPr>
          <w:p>
            <w:pPr/>
            <w:r>
              <w:t xml:space="preserve">Secrets</w:t>
            </w:r>
          </w:p>
        </w:tc>
        <w:tc>
          <w:tcPr>
            <w:tcW w:w="3120" w:type="dxa"/>
          </w:tcPr>
          <w:p>
            <w:pPr/>
            <w:r>
              <w:t xml:space="preserve">NDA applies; defence material is tiered</w:t>
            </w:r>
          </w:p>
        </w:tc>
        <w:tc>
          <w:tcPr>
            <w:tcW w:w="3120" w:type="dxa"/>
          </w:tcPr>
          <w:p>
            <w:pPr/>
            <w:r>
              <w:t xml:space="preserve">9</w:t>
            </w:r>
          </w:p>
        </w:tc>
      </w:tr>
      <w:tr>
        <w:tc>
          <w:tcPr>
            <w:tcW w:w="3120" w:type="dxa"/>
          </w:tcPr>
          <w:p>
            <w:pPr/>
            <w:r>
              <w:t xml:space="preserve">Conduct</w:t>
            </w:r>
          </w:p>
        </w:tc>
        <w:tc>
          <w:tcPr>
            <w:tcW w:w="3120" w:type="dxa"/>
          </w:tcPr>
          <w:p>
            <w:pPr/>
            <w:r>
              <w:t xml:space="preserve">Warning, suspension, removal; no retaliation for good-faith reports</w:t>
            </w:r>
          </w:p>
        </w:tc>
        <w:tc>
          <w:tcPr>
            <w:tcW w:w="3120" w:type="dxa"/>
          </w:tcPr>
          <w:p>
            <w:pPr/>
            <w:r>
              <w:t xml:space="preserve">10</w:t>
            </w:r>
          </w:p>
        </w:tc>
      </w:tr>
      <w:tr>
        <w:tc>
          <w:tcPr>
            <w:tcW w:w="3120" w:type="dxa"/>
          </w:tcPr>
          <w:p>
            <w:pPr/>
            <w:r>
              <w:t xml:space="preserve">Your data</w:t>
            </w:r>
          </w:p>
        </w:tc>
        <w:tc>
          <w:tcPr>
            <w:tcW w:w="3120" w:type="dxa"/>
          </w:tcPr>
          <w:p>
            <w:pPr/>
            <w:r>
              <w:t xml:space="preserve">Used only for BOLTE; nothing published without your separate written consent</w:t>
            </w:r>
          </w:p>
        </w:tc>
        <w:tc>
          <w:tcPr>
            <w:tcW w:w="3120" w:type="dxa"/>
          </w:tcPr>
          <w:p>
            <w:pPr/>
            <w:r>
              <w:t xml:space="preserve">12</w:t>
            </w:r>
          </w:p>
        </w:tc>
      </w:tr>
      <w:tr>
        <w:tc>
          <w:tcPr>
            <w:tcW w:w="3120" w:type="dxa"/>
          </w:tcPr>
          <w:p>
            <w:pPr/>
            <w:r>
              <w:t xml:space="preserve">Leaving</w:t>
            </w:r>
          </w:p>
        </w:tc>
        <w:tc>
          <w:tcPr>
            <w:tcW w:w="3120" w:type="dxa"/>
          </w:tcPr>
          <w:p>
            <w:pPr/>
            <w:r>
              <w:t xml:space="preserve">30 days’ notice; vested shares kept (Good Leaver)</w:t>
            </w:r>
          </w:p>
        </w:tc>
        <w:tc>
          <w:tcPr>
            <w:tcW w:w="3120" w:type="dxa"/>
          </w:tcPr>
          <w:p>
            <w:pPr/>
            <w:r>
              <w:t xml:space="preserve">13</w:t>
            </w:r>
          </w:p>
        </w:tc>
      </w:tr>
    </w:tbl>
    <w:p>
      <w:pPr>
        <w:pStyle w:val="Heading2"/>
      </w:pPr>
      <w:r>
        <w:t xml:space="preserve">Parties</w:t>
      </w:r>
    </w:p>
    <w:p>
      <w:pPr/>
      <w:r>
        <w:t xml:space="preserve">This Memorandum of Understanding is made on [date] (the </w:t>
      </w:r>
      <w:r>
        <w:rPr>
          <w:b/>
        </w:rPr>
        <w:t xml:space="preserve">Effective Date</w:t>
      </w:r>
      <w:r>
        <w:t xml:space="preserve">, expected to be 02 October 2026) between:</w:t>
      </w:r>
    </w:p>
    <w:p>
      <w:pPr>
        <w:pStyle w:val="ListParagraph"/>
        <w:numPr>
          <w:ilvl w:val="0"/>
          <w:numId w:val="2"/>
        </w:numPr>
      </w:pPr>
      <w:r>
        <w:rPr>
          <w:b/>
        </w:rPr>
        <w:t xml:space="preserve">ABDULLAHI BABA GARBA</w:t>
      </w:r>
      <w:r>
        <w:t xml:space="preserve">, Co-founder, CEO/CTO;</w:t>
      </w:r>
    </w:p>
    <w:p>
      <w:pPr>
        <w:pStyle w:val="ListParagraph"/>
        <w:numPr>
          <w:ilvl w:val="0"/>
          <w:numId w:val="2"/>
        </w:numPr>
      </w:pPr>
      <w:r>
        <w:rPr>
          <w:b/>
        </w:rPr>
        <w:t xml:space="preserve">ESSIEN FRANCES EKOMOBONG</w:t>
      </w:r>
      <w:r>
        <w:t xml:space="preserve">, Co-founder, COO &amp; Research Lead (together the </w:t>
      </w:r>
      <w:r>
        <w:rPr>
          <w:b/>
        </w:rPr>
        <w:t xml:space="preserve">Founders</w:t>
      </w:r>
      <w:r>
        <w:t xml:space="preserve">);</w:t>
      </w:r>
    </w:p>
    <w:p>
      <w:pPr>
        <w:pStyle w:val="ListParagraph"/>
        <w:numPr>
          <w:ilvl w:val="0"/>
          <w:numId w:val="2"/>
        </w:numPr>
      </w:pPr>
      <w:r>
        <w:rPr>
          <w:b/>
        </w:rPr>
        <w:t xml:space="preserve">ESSIEN TIMIOBONG DUNNHILL</w:t>
      </w:r>
      <w:r>
        <w:t xml:space="preserve">, Treasurer &amp; Research Assistant (Seat B1);</w:t>
      </w:r>
    </w:p>
    <w:p>
      <w:pPr>
        <w:pStyle w:val="ListParagraph"/>
        <w:numPr>
          <w:ilvl w:val="0"/>
          <w:numId w:val="2"/>
        </w:numPr>
      </w:pPr>
      <w:r>
        <w:rPr>
          <w:b/>
        </w:rPr>
        <w:t xml:space="preserve">YUSUF AZEEMAH OYIZA</w:t>
      </w:r>
      <w:r>
        <w:t xml:space="preserve">, Product Designer &amp; Manager (Seat B2);</w:t>
      </w:r>
    </w:p>
    <w:p>
      <w:pPr>
        <w:pStyle w:val="ListParagraph"/>
        <w:numPr>
          <w:ilvl w:val="0"/>
          <w:numId w:val="2"/>
        </w:numPr>
      </w:pPr>
      <w:r>
        <w:rPr>
          <w:b/>
        </w:rPr>
        <w:t xml:space="preserve">DAVID UZONDU</w:t>
      </w:r>
      <w:r>
        <w:t xml:space="preserve">, Lead Engineer (Seat C); and</w:t>
      </w:r>
    </w:p>
    <w:p>
      <w:pPr>
        <w:pStyle w:val="ListParagraph"/>
        <w:numPr>
          <w:ilvl w:val="0"/>
          <w:numId w:val="2"/>
        </w:numPr>
      </w:pPr>
      <w:r>
        <w:rPr>
          <w:b/>
        </w:rPr>
        <w:t xml:space="preserve">ABDULAZEEZ MASUD</w:t>
      </w:r>
      <w:r>
        <w:t xml:space="preserve">, Assistant to the Lead Engineer (Seat D),</w:t>
      </w:r>
    </w:p>
    <w:p>
      <w:pPr/>
      <w:r>
        <w:t xml:space="preserve">with the addresses and IDs in Schedule A. Parties 3 to 6 are the </w:t>
      </w:r>
      <w:r>
        <w:rPr>
          <w:b/>
        </w:rPr>
        <w:t xml:space="preserve">Members</w:t>
      </w:r>
      <w:r>
        <w:t xml:space="preserve">. The Business &amp; Financial Adviser is not a party; the Adviser signs a separate Adviser Agreement.</w:t>
      </w:r>
    </w:p>
    <w:p>
      <w:pPr>
        <w:pStyle w:val="Heading2"/>
      </w:pPr>
      <w:r>
        <w:t xml:space="preserve">Background</w:t>
      </w:r>
    </w:p>
    <w:p>
      <w:pPr/>
      <w:r>
        <w:t xml:space="preserve">(A) BOLTE is a Nigerian research, engineering and technology company focused first on indigenous defence and security technology. Its flagship product is AeroPulse-NG; other products are at ideation or specification stage.</w:t>
      </w:r>
    </w:p>
    <w:p>
      <w:pPr/>
      <w:r>
        <w:t xml:space="preserve">(B) The Founders have applied to the Corporate Affairs Commission to incorporate a company to carry on BOLTE’s business [BOLTE [Technologies] Limited, name subject to CAC approval] (the </w:t>
      </w:r>
      <w:r>
        <w:rPr>
          <w:b/>
        </w:rPr>
        <w:t xml:space="preserve">Company</w:t>
      </w:r>
      <w:r>
        <w:t xml:space="preserve">).</w:t>
      </w:r>
    </w:p>
    <w:p>
      <w:pPr/>
      <w:r>
        <w:t xml:space="preserve">(C) The parties want clear rules on work, money, ownership, secrecy and conduct before incorporation, and a binding route into the Company once it exists.</w:t>
      </w:r>
    </w:p>
    <w:p>
      <w:pPr>
        <w:pStyle w:val="Heading2"/>
      </w:pPr>
      <w:r>
        <w:t xml:space="preserve">1. Interpretation</w:t>
      </w:r>
    </w:p>
    <w:p>
      <w:pPr/>
      <w:r>
        <w:rPr>
          <w:b/>
        </w:rPr>
        <w:t xml:space="preserve">Active Week:</w:t>
      </w:r>
      <w:r>
        <w:t xml:space="preserve"> a week in which a person met the Contribution Standard for their seat or was on approved leave. </w:t>
      </w:r>
      <w:r>
        <w:rPr>
          <w:b/>
        </w:rPr>
        <w:t xml:space="preserve">Canon:</w:t>
      </w:r>
      <w:r>
        <w:t xml:space="preserve"> the BOLTE Canon, including its ethics guardrails. </w:t>
      </w:r>
      <w:r>
        <w:rPr>
          <w:b/>
        </w:rPr>
        <w:t xml:space="preserve">Collective:</w:t>
      </w:r>
      <w:r>
        <w:t xml:space="preserve"> the unincorporated group of the parties before the Incorporation Date. </w:t>
      </w:r>
      <w:r>
        <w:rPr>
          <w:b/>
        </w:rPr>
        <w:t xml:space="preserve">Contribution Standard:</w:t>
      </w:r>
      <w:r>
        <w:t xml:space="preserve"> Schedule B. </w:t>
      </w:r>
      <w:r>
        <w:rPr>
          <w:b/>
        </w:rPr>
        <w:t xml:space="preserve">Equity Model:</w:t>
      </w:r>
      <w:r>
        <w:t xml:space="preserve"> the BOLTE Equity &amp; Profit Model v1.0. </w:t>
      </w:r>
      <w:r>
        <w:rPr>
          <w:b/>
        </w:rPr>
        <w:t xml:space="preserve">Founders’ Agreement:</w:t>
      </w:r>
      <w:r>
        <w:t xml:space="preserve"> the agreement between the Founders. </w:t>
      </w:r>
      <w:r>
        <w:rPr>
          <w:b/>
        </w:rPr>
        <w:t xml:space="preserve">Incorporation Date:</w:t>
      </w:r>
      <w:r>
        <w:t xml:space="preserve"> the date of the Company’s certificate of incorporation. </w:t>
      </w:r>
      <w:r>
        <w:rPr>
          <w:b/>
        </w:rPr>
        <w:t xml:space="preserve">Net Gains:</w:t>
      </w:r>
      <w:r>
        <w:t xml:space="preserve"> gross prizes, grants, sponsorship and revenue received, minus receipted direct costs. </w:t>
      </w:r>
      <w:r>
        <w:rPr>
          <w:b/>
        </w:rPr>
        <w:t xml:space="preserve">Treasury:</w:t>
      </w:r>
      <w:r>
        <w:t xml:space="preserve"> the portion of Net Gains retained under Schedule C. </w:t>
      </w:r>
      <w:r>
        <w:rPr>
          <w:b/>
        </w:rPr>
        <w:t xml:space="preserve">Work Product:</w:t>
      </w:r>
      <w:r>
        <w:t xml:space="preserve"> all code, designs, drawings, documents, specifications, inventions, data, demonstrations and other materials created for or in connection with BOLTE, whether before or after the Effective Date. ‘Written’ includes email and saved messages.</w:t>
      </w:r>
    </w:p>
    <w:p>
      <w:pPr>
        <w:pStyle w:val="Heading2"/>
      </w:pPr>
      <w:r>
        <w:t xml:space="preserve">2. Nature of this agreement</w:t>
      </w:r>
    </w:p>
    <w:p>
      <w:pPr/>
      <w:r>
        <w:t xml:space="preserve">2.1 The parties collaborate to build BOLTE under the Canon. Each Member contributes time and skill and receives the cash and ownership rights in this MOU. No Member is paid a salary.</w:t>
      </w:r>
    </w:p>
    <w:p>
      <w:pPr/>
      <w:r>
        <w:t xml:space="preserve">2.2 This MOU does not create employment. Members decide how to organise their own time, subject to the Contribution Standard and the weekly review. If a Member later receives pay for work, a separate written contractor or employment agreement will apply.</w:t>
      </w:r>
    </w:p>
    <w:p>
      <w:pPr/>
      <w:r>
        <w:t xml:space="preserve">2.3 The parties do not intend a partnership and no party may bind another or the Collective. The Founders will incorporate promptly so that the Company, and not individuals, carries the Business.</w:t>
      </w:r>
    </w:p>
    <w:p>
      <w:pPr>
        <w:pStyle w:val="Heading2"/>
      </w:pPr>
      <w:r>
        <w:t xml:space="preserve">3. Term</w:t>
      </w:r>
    </w:p>
    <w:p>
      <w:pPr/>
      <w:r>
        <w:t xml:space="preserve">3.1 This MOU starts on the Effective Date and continues until the Company has been incorporated and the Members have signed their share and vesting agreements. A Member may leave earlier on 30 days’ written notice under clause 13.</w:t>
      </w:r>
    </w:p>
    <w:p>
      <w:pPr/>
      <w:r>
        <w:t xml:space="preserve">3.2 On conversion, the money and decision clauses are replaced by the Company’s articles and any shareholders’ agreement. The IP, confidentiality, conduct, data and restrictive-covenant clauses continue until replaced in writing.</w:t>
      </w:r>
    </w:p>
    <w:p>
      <w:pPr>
        <w:pStyle w:val="Heading2"/>
      </w:pPr>
      <w:r>
        <w:t xml:space="preserve">4. Roles and the Contribution Standard</w:t>
      </w:r>
    </w:p>
    <w:p>
      <w:pPr/>
      <w:r>
        <w:t xml:space="preserve">4.1 Each party holds the seat and duties in Schedule B and will meet the Contribution Standard for that seat.</w:t>
      </w:r>
    </w:p>
    <w:p>
      <w:pPr/>
      <w:r>
        <w:t xml:space="preserve">4.2 Every party will: attend the weekly review; report status honestly as done, blocked or next; keep work reproducible and documented; follow lab and equipment safety rules; and tell the Founders early if they cannot meet a commitment.</w:t>
      </w:r>
    </w:p>
    <w:p>
      <w:pPr/>
      <w:r>
        <w:t xml:space="preserve">4.3 </w:t>
      </w:r>
      <w:r>
        <w:rPr>
          <w:b/>
        </w:rPr>
        <w:t xml:space="preserve">Safety Stop.</w:t>
      </w:r>
      <w:r>
        <w:t xml:space="preserve"> Any engineer may halt a build or test they believe is unsafe. The halt stands until the Lead Engineer and the CEO review it.</w:t>
      </w:r>
    </w:p>
    <w:p>
      <w:pPr/>
      <w:r>
        <w:t xml:space="preserve">4.4 Approved leave: a Member may take up to 8 weeks of leave in any 12 months, for study, illness or family reasons, by telling the Founders in writing in advance where possible. Vesting continues during approved leave.</w:t>
      </w:r>
    </w:p>
    <w:p>
      <w:pPr/>
      <w:r>
        <w:t xml:space="preserve">4.5 The Treasurer keeps the books and reports; the Treasurer has no authority to approve or make payments.</w:t>
      </w:r>
    </w:p>
    <w:p>
      <w:pPr>
        <w:pStyle w:val="Heading2"/>
      </w:pPr>
      <w:r>
        <w:t xml:space="preserve">5. Decisions</w:t>
      </w:r>
    </w:p>
    <w:p>
      <w:pPr/>
      <w:r>
        <w:t xml:space="preserve">5.1 Day-to-day decisions belong to the role owner within the domains in the Founders’ Agreement.</w:t>
      </w:r>
    </w:p>
    <w:p>
      <w:pPr/>
      <w:r>
        <w:t xml:space="preserve">5.2 Both Founders, in writing, decide the Reserved Matters: equity; IP assignment, licensing or publication; any government, military or security-agency engagement; any foreign investor or partner; borrowing; spending above the thresholds in clause 6.6; admitting, suspending or removing a Member; changes to the Canon; competition entries; and public representation of BOLTE.</w:t>
      </w:r>
    </w:p>
    <w:p>
      <w:pPr/>
      <w:r>
        <w:t xml:space="preserve">5.3 Decisions that affect a Member’s money, equity or standing are written in the Decision Log within 48 hours and shared with that Member.</w:t>
      </w:r>
    </w:p>
    <w:p>
      <w:pPr/>
      <w:r>
        <w:t xml:space="preserve">5.4 Members can raise any concern at the weekly review or in writing to both Founders. Founder deadlock is handled under the Founders’ Agreement and does not change any Member’s rights here.</w:t>
      </w:r>
    </w:p>
    <w:p>
      <w:pPr>
        <w:pStyle w:val="Heading2"/>
      </w:pPr>
      <w:r>
        <w:t xml:space="preserve">6. Money (Layer A: cash waterfall)</w:t>
      </w:r>
    </w:p>
    <w:p>
      <w:pPr/>
      <w:r>
        <w:t xml:space="preserve">6.1 </w:t>
      </w:r>
      <w:r>
        <w:rPr>
          <w:b/>
        </w:rPr>
        <w:t xml:space="preserve">No pooling.</w:t>
      </w:r>
      <w:r>
        <w:t xml:space="preserve"> Before incorporation, nobody pools money in a personal account. Costs are paid against receipts and recorded.</w:t>
      </w:r>
    </w:p>
    <w:p>
      <w:pPr/>
      <w:r>
        <w:t xml:space="preserve">6.2 </w:t>
      </w:r>
      <w:r>
        <w:rPr>
          <w:b/>
        </w:rPr>
        <w:t xml:space="preserve">Custody.</w:t>
      </w:r>
      <w:r>
        <w:t xml:space="preserve"> Prizes and grants are paid into one segregated account held by [named Founder], or a joint account in both Founders’ names if the bank allows, as trustee for the Collective. The Treasurer receives statements monthly. On incorporation the money moves to the Company’s account, which has both Founders as signatories.</w:t>
      </w:r>
    </w:p>
    <w:p>
      <w:pPr/>
      <w:r>
        <w:t xml:space="preserve">6.3 </w:t>
      </w:r>
      <w:r>
        <w:rPr>
          <w:b/>
        </w:rPr>
        <w:t xml:space="preserve">Waterfall.</w:t>
      </w:r>
      <w:r>
        <w:t xml:space="preserve"> Net Gains are shared as in Schedule C. This is a cash entitlement only. It is not a share in the Company and carries no vote.</w:t>
      </w:r>
    </w:p>
    <w:p>
      <w:pPr/>
      <w:r>
        <w:t xml:space="preserve">6.4 </w:t>
      </w:r>
      <w:r>
        <w:rPr>
          <w:b/>
        </w:rPr>
        <w:t xml:space="preserve">Eligibility.</w:t>
      </w:r>
      <w:r>
        <w:t xml:space="preserve"> A person is paid only if they have signed the NDA, the IP Assignment and this MOU, have no unresolved misconduct finding, and met the Contribution Standard in the period or were on approved leave. Shares are scaled by Active Weeks.</w:t>
      </w:r>
    </w:p>
    <w:p>
      <w:pPr/>
      <w:r>
        <w:t xml:space="preserve">6.5 </w:t>
      </w:r>
      <w:r>
        <w:rPr>
          <w:b/>
        </w:rPr>
        <w:t xml:space="preserve">Reserve first.</w:t>
      </w:r>
      <w:r>
        <w:t xml:space="preserve"> No payout is made until the Treasury holds three months of planned costs. Both Founders set the timing.</w:t>
      </w:r>
    </w:p>
    <w:p>
      <w:pPr/>
      <w:r>
        <w:t xml:space="preserve">6.6 </w:t>
      </w:r>
      <w:r>
        <w:rPr>
          <w:b/>
        </w:rPr>
        <w:t xml:space="preserve">Spending.</w:t>
      </w:r>
      <w:r>
        <w:t xml:space="preserve"> Up to ₦20,000 per item (monthly cap ₦100,000 per role owner): role owner. ₦20,001 to ₦50,000: either Founder. Above ₦50,000: both Founders in writing. Above ₦500,000 or a commitment over 6 months: both Founders after written advice from the Adviser. Every payment is recorded within 48 hours with a receipt.</w:t>
      </w:r>
    </w:p>
    <w:p>
      <w:pPr/>
      <w:r>
        <w:t xml:space="preserve">6.7 </w:t>
      </w:r>
      <w:r>
        <w:rPr>
          <w:b/>
        </w:rPr>
        <w:t xml:space="preserve">Prize rule.</w:t>
      </w:r>
      <w:r>
        <w:t xml:space="preserve"> Competition prizes follow Schedule C unless the competing sub-team and both Founders agree otherwise in writing before submission.</w:t>
      </w:r>
    </w:p>
    <w:p>
      <w:pPr/>
      <w:r>
        <w:t xml:space="preserve">6.8 </w:t>
      </w:r>
      <w:r>
        <w:rPr>
          <w:b/>
        </w:rPr>
        <w:t xml:space="preserve">Transparency.</w:t>
      </w:r>
      <w:r>
        <w:t xml:space="preserve"> The Treasurer circulates a monthly ledger. Any party may inspect receipts on 7 days’ notice.</w:t>
      </w:r>
    </w:p>
    <w:p>
      <w:pPr/>
      <w:r>
        <w:t xml:space="preserve">6.9 </w:t>
      </w:r>
      <w:r>
        <w:rPr>
          <w:b/>
        </w:rPr>
        <w:t xml:space="preserve">Tax.</w:t>
      </w:r>
      <w:r>
        <w:t xml:space="preserve"> A payment under this clause is income of the person who receives it. The custodian may need to withhold or report, and each person is responsible for their own tax.</w:t>
      </w:r>
    </w:p>
    <w:p>
      <w:pPr/>
      <w:r>
        <w:t xml:space="preserve">6.10 </w:t>
      </w:r>
      <w:r>
        <w:rPr>
          <w:b/>
        </w:rPr>
        <w:t xml:space="preserve">Sunset.</w:t>
      </w:r>
      <w:r>
        <w:t xml:space="preserve"> Schedule C ends on the Incorporation Date. Amounts already earned by eligible people are paid within 60 days. Unspent Treasury money becomes Company reserves.</w:t>
      </w:r>
    </w:p>
    <w:p>
      <w:pPr>
        <w:pStyle w:val="Heading2"/>
      </w:pPr>
      <w:r>
        <w:t xml:space="preserve">7. Ownership (Layer B: conversion commitment)</w:t>
      </w:r>
    </w:p>
    <w:p>
      <w:pPr/>
      <w:r>
        <w:t xml:space="preserve">7.1 On incorporation the Founders will cause the Company to allot to each Member the shares set out in Schedule D, subject to the vesting and leaver terms in the Equity Model, and each Member will sign the share and vesting agreement the Company requires.</w:t>
      </w:r>
    </w:p>
    <w:p>
      <w:pPr/>
      <w:r>
        <w:t xml:space="preserve">7.2 The commitment depends on the Member having signed the NDA, the IP Assignment and this MOU, and not being a Bad Leaver at the allotment date.</w:t>
      </w:r>
    </w:p>
    <w:p>
      <w:pPr/>
      <w:r>
        <w:t xml:space="preserve">7.3 Layer A percentages are not shares and are not a baseline for share ownership. Ownership is fixed only by Schedule D.</w:t>
      </w:r>
    </w:p>
    <w:p>
      <w:pPr/>
      <w:r>
        <w:t xml:space="preserve">7.4 </w:t>
      </w:r>
      <w:r>
        <w:rPr>
          <w:b/>
        </w:rPr>
        <w:t xml:space="preserve">No side deals.</w:t>
      </w:r>
      <w:r>
        <w:t xml:space="preserve"> A promise of equity, options or profit share that is not in this MOU or signed by both Founders has no effect.</w:t>
      </w:r>
    </w:p>
    <w:p>
      <w:pPr>
        <w:pStyle w:val="Heading2"/>
      </w:pPr>
      <w:r>
        <w:t xml:space="preserve">8. Intellectual property</w:t>
      </w:r>
    </w:p>
    <w:p>
      <w:pPr/>
      <w:r>
        <w:t xml:space="preserve">8.1 </w:t>
      </w:r>
      <w:r>
        <w:rPr>
          <w:b/>
        </w:rPr>
        <w:t xml:space="preserve">Ownership.</w:t>
      </w:r>
      <w:r>
        <w:t xml:space="preserve"> All Work Product belongs to the Collective, held on trust by the Founders until the Incorporation Date, and then to the Company. Each Member assigns their rights in Work Product under the Contributor IP Assignment, which they sign with this MOU.</w:t>
      </w:r>
    </w:p>
    <w:p>
      <w:pPr/>
      <w:r>
        <w:t xml:space="preserve">8.2 </w:t>
      </w:r>
      <w:r>
        <w:rPr>
          <w:b/>
        </w:rPr>
        <w:t xml:space="preserve">Prior IP.</w:t>
      </w:r>
      <w:r>
        <w:t xml:space="preserve"> Anything a Member owned before joining that is not Work Product stays theirs if they list it in the IP Assignment schedule. A Member who uses Prior IP in BOLTE work grants the Company a free, perpetual licence to use it within the Work Product.</w:t>
      </w:r>
    </w:p>
    <w:p>
      <w:pPr/>
      <w:r>
        <w:t xml:space="preserve">8.3 </w:t>
      </w:r>
      <w:r>
        <w:rPr>
          <w:b/>
        </w:rPr>
        <w:t xml:space="preserve">Disclosure and records.</w:t>
      </w:r>
      <w:r>
        <w:t xml:space="preserve"> Members tell the Founders promptly of any invention, keep dated notes, and help with filings. Nobody files, licenses, publishes or open-sources Work Product on their own.</w:t>
      </w:r>
    </w:p>
    <w:p>
      <w:pPr/>
      <w:r>
        <w:t xml:space="preserve">8.4 </w:t>
      </w:r>
      <w:r>
        <w:rPr>
          <w:b/>
        </w:rPr>
        <w:t xml:space="preserve">Disclosure Gate.</w:t>
      </w:r>
      <w:r>
        <w:t xml:space="preserve"> Nothing is published, uploaded to a competition, shown to an outsider or open-sourced until both Founders confirm in writing that it holds no restricted or controlled material, the IP position is checked and the recipient has signed an NDA where needed.</w:t>
      </w:r>
    </w:p>
    <w:p>
      <w:pPr/>
      <w:r>
        <w:t xml:space="preserve">8.5 </w:t>
      </w:r>
      <w:r>
        <w:rPr>
          <w:b/>
        </w:rPr>
        <w:t xml:space="preserve">Repositories and accounts.</w:t>
      </w:r>
      <w:r>
        <w:t xml:space="preserve"> Work lives in the BOLTE GitHub organisation, private by default, with multi-factor authentication. Nobody keeps Work Product only on a personal device or personal cloud account.</w:t>
      </w:r>
    </w:p>
    <w:p>
      <w:pPr/>
      <w:r>
        <w:t xml:space="preserve">8.6 </w:t>
      </w:r>
      <w:r>
        <w:rPr>
          <w:b/>
        </w:rPr>
        <w:t xml:space="preserve">Third-party and AI material.</w:t>
      </w:r>
      <w:r>
        <w:t xml:space="preserve"> Members use only code under licences the Founders have approved, log significant AI-generated content, and never bring in material belonging to an employer, a university or any third party without written permission.</w:t>
      </w:r>
    </w:p>
    <w:p>
      <w:pPr/>
      <w:r>
        <w:t xml:space="preserve">8.7 Attribution is kept for authors wherever the law gives it.</w:t>
      </w:r>
    </w:p>
    <w:p>
      <w:pPr>
        <w:pStyle w:val="Heading2"/>
      </w:pPr>
      <w:r>
        <w:t xml:space="preserve">9. Confidentiality</w:t>
      </w:r>
    </w:p>
    <w:p>
      <w:pPr/>
      <w:r>
        <w:t xml:space="preserve">9.1 The BOLTE Confidentiality Undertaking applies to every party and is part of this MOU. It survives for 3 years after leaving and for 5 years for trade secrets, or for as long as the information stays secret.</w:t>
      </w:r>
    </w:p>
    <w:p>
      <w:pPr/>
      <w:r>
        <w:t xml:space="preserve">9.2 Information is tiered: public, internal, restricted (defence-sensitive designs, intercept and threat logic, deployment configurations) and controlled (anything a government, military or partner shares under restriction). A person sees only what their role needs.</w:t>
      </w:r>
    </w:p>
    <w:p>
      <w:pPr/>
      <w:r>
        <w:t xml:space="preserve">9.3 A suspected leak is reported to both Founders within 24 hours.</w:t>
      </w:r>
    </w:p>
    <w:p>
      <w:pPr>
        <w:pStyle w:val="Heading2"/>
      </w:pPr>
      <w:r>
        <w:t xml:space="preserve">10. Conduct, defence guardrails and reporting</w:t>
      </w:r>
    </w:p>
    <w:p>
      <w:pPr/>
      <w:r>
        <w:t xml:space="preserve">10.1 Every party will: act professionally; submit only original, honestly described work; credit sources, tools and contributors; disclose significant AI use and any conflict of interest early; protect confidential information; put safety first; and act lawfully.</w:t>
      </w:r>
    </w:p>
    <w:p>
      <w:pPr/>
      <w:r>
        <w:t xml:space="preserve">10.2 </w:t>
      </w:r>
      <w:r>
        <w:rPr>
          <w:b/>
        </w:rPr>
        <w:t xml:space="preserve">Defence guardrails.</w:t>
      </w:r>
      <w:r>
        <w:t xml:space="preserve"> BOLTE serves lawful and legitimate users only, complies with Nigerian law and export controls, keeps a defensive and situational-awareness posture, keeps a human decision-maker in the loop, and tests and documents before deployment. No party may approach, accept work from or share material with any government body, security agency, military unit, foreign entity or investor on BOLTE’s behalf without both Founders’ written approval.</w:t>
      </w:r>
    </w:p>
    <w:p>
      <w:pPr/>
      <w:r>
        <w:t xml:space="preserve">10.4 </w:t>
      </w:r>
      <w:r>
        <w:rPr>
          <w:b/>
        </w:rPr>
        <w:t xml:space="preserve">Reporting.</w:t>
      </w:r>
      <w:r>
        <w:t xml:space="preserve"> A concern goes in writing to both Founders. A concern about a Founder goes to the Adviser. Reports are handled confidentially and nobody is penalised for a good-faith report.</w:t>
      </w:r>
    </w:p>
    <w:p>
      <w:pPr/>
      <w:r>
        <w:t xml:space="preserve">10.5 </w:t>
      </w:r>
      <w:r>
        <w:rPr>
          <w:b/>
        </w:rPr>
        <w:t xml:space="preserve">Sanctions.</w:t>
      </w:r>
      <w:r>
        <w:t xml:space="preserve"> Breach of this clause leads to a warning, then suspension, then removal, and serious breaches (fraud, plagiarism, fabrication, serious breach of confidentiality, safety violations) may go straight to removal after the Member has been heard in writing. Removal affects pending cash and unvested shares as clause 13 and the Equity Model say.</w:t>
      </w:r>
    </w:p>
    <w:p>
      <w:pPr>
        <w:pStyle w:val="Heading2"/>
      </w:pPr>
      <w:r>
        <w:t xml:space="preserve">11. Competitions</w:t>
      </w:r>
    </w:p>
    <w:p>
      <w:pPr/>
      <w:r>
        <w:t xml:space="preserve">11.1 For the NASS National Innovation Pitch Challenge (NDAIE 2026) and any other competition, the Team Lead, Garba, is the official contact. Only members who meet the eligibility rules and are registered may present.</w:t>
      </w:r>
    </w:p>
    <w:p>
      <w:pPr/>
      <w:r>
        <w:t xml:space="preserve">11.2 Each Member warrants that the personal and enrolment information they give for eligibility is true and tells the Team Lead at once if it changes.</w:t>
      </w:r>
    </w:p>
    <w:p>
      <w:pPr/>
      <w:r>
        <w:t xml:space="preserve">11.3 Entries respect the competition rules, grant only the licence those rules require, keep trade secrets out of public materials, and are submitted only after the Disclosure Gate.</w:t>
      </w:r>
    </w:p>
    <w:p>
      <w:pPr/>
      <w:r>
        <w:t xml:space="preserve">11.4 The prize rule is clause 6.7.</w:t>
      </w:r>
    </w:p>
    <w:p>
      <w:pPr>
        <w:pStyle w:val="Heading2"/>
      </w:pPr>
      <w:r>
        <w:t xml:space="preserve">12. Data protection</w:t>
      </w:r>
    </w:p>
    <w:p>
      <w:pPr/>
      <w:r>
        <w:t xml:space="preserve">12.1 BOLTE collects Members’ personal data only to onboard, verify eligibility, run the Collective and meet legal duties, and handles it under the Nigerian Data Protection Act 2023.</w:t>
      </w:r>
    </w:p>
    <w:p>
      <w:pPr/>
      <w:r>
        <w:t xml:space="preserve">12.2 Records with identity numbers, addresses and emergency contacts are kept restricted and not published.</w:t>
      </w:r>
    </w:p>
    <w:p>
      <w:pPr/>
      <w:r>
        <w:t xml:space="preserve">12.3 </w:t>
      </w:r>
      <w:r>
        <w:rPr>
          <w:b/>
        </w:rPr>
        <w:t xml:space="preserve">Publication needs separate consent.</w:t>
      </w:r>
      <w:r>
        <w:t xml:space="preserve"> BOLTE publishes a Member’s name, photograph or role only with that Member’s own written consent, and a Member may withdraw it for future publications. A Member who earlier chose initials-only display will be asked to confirm or change that choice at signing.</w:t>
      </w:r>
    </w:p>
    <w:p>
      <w:pPr/>
      <w:r>
        <w:t xml:space="preserve">12.4 Members may ask to see, correct or (where no legal duty prevents it) delete their data.</w:t>
      </w:r>
    </w:p>
    <w:p>
      <w:pPr>
        <w:pStyle w:val="Heading2"/>
      </w:pPr>
      <w:r>
        <w:t xml:space="preserve">13. Leaving, suspension and removal</w:t>
      </w:r>
    </w:p>
    <w:p>
      <w:pPr/>
      <w:r>
        <w:t xml:space="preserve">13.1 </w:t>
      </w:r>
      <w:r>
        <w:rPr>
          <w:b/>
        </w:rPr>
        <w:t xml:space="preserve">Inactivity.</w:t>
      </w:r>
      <w:r>
        <w:t xml:space="preserve"> 4 weeks without notice or approved leave: review. 8 weeks: offboarding.</w:t>
      </w:r>
    </w:p>
    <w:p>
      <w:pPr/>
      <w:r>
        <w:t xml:space="preserve">13.2 </w:t>
      </w:r>
      <w:r>
        <w:rPr>
          <w:b/>
        </w:rPr>
        <w:t xml:space="preserve">Leaving.</w:t>
      </w:r>
      <w:r>
        <w:t xml:space="preserve"> A Member leaves on 30 days’ written notice, or on removal, and completes a handover of work, accounts and knowledge.</w:t>
      </w:r>
    </w:p>
    <w:p>
      <w:pPr/>
      <w:r>
        <w:t xml:space="preserve">13.3 </w:t>
      </w:r>
      <w:r>
        <w:rPr>
          <w:b/>
        </w:rPr>
        <w:t xml:space="preserve">Cash.</w:t>
      </w:r>
      <w:r>
        <w:t xml:space="preserve"> A leaver’s Layer A entitlement is pro-rated to Active Weeks to the leaving date. A Member removed for misconduct forfeits amounts not yet paid.</w:t>
      </w:r>
    </w:p>
    <w:p>
      <w:pPr/>
      <w:r>
        <w:t xml:space="preserve">13.4 </w:t>
      </w:r>
      <w:r>
        <w:rPr>
          <w:b/>
        </w:rPr>
        <w:t xml:space="preserve">Shares.</w:t>
      </w:r>
      <w:r>
        <w:t xml:space="preserve"> The Equity Model rules apply. A Good Leaver keeps vested shares. A Neutral Leaver keeps vested shares, subject to the Company’s call option at Fair Value. A Bad Leaver’s unvested shares lapse and the Company may buy vested shares at the lower of nominal value and Fair Value [counsel to confirm].</w:t>
      </w:r>
    </w:p>
    <w:p>
      <w:pPr/>
      <w:r>
        <w:t xml:space="preserve">13.5 </w:t>
      </w:r>
      <w:r>
        <w:rPr>
          <w:b/>
        </w:rPr>
        <w:t xml:space="preserve">On leaving.</w:t>
      </w:r>
      <w:r>
        <w:t xml:space="preserve"> Return all materials, confirm in writing that confidentiality and IP duties continue, and have access revoked within 24 hours.</w:t>
      </w:r>
    </w:p>
    <w:p>
      <w:pPr>
        <w:pStyle w:val="Heading2"/>
      </w:pPr>
      <w:r>
        <w:t xml:space="preserve">14. Restrictive covenants</w:t>
      </w:r>
    </w:p>
    <w:p>
      <w:pPr/>
      <w:r>
        <w:t xml:space="preserve">14.1 For 12 months after leaving, a Member will not solicit any BOLTE member or contractor to leave, and will not solicit a BOLTE customer or partner for a competing product.</w:t>
      </w:r>
    </w:p>
    <w:p>
      <w:pPr/>
      <w:r>
        <w:t xml:space="preserve">14.2 For 6 months after leaving, a Member will not join or found a business in the Restricted Field that uses BOLTE Work Product or confidential information [counsel to confirm scope; the Restricted Field is as defined in the Founders’ Agreement].</w:t>
      </w:r>
    </w:p>
    <w:p>
      <w:pPr/>
      <w:r>
        <w:t xml:space="preserve">14.3 Nothing stops a Member from studying, doing academic research, or working outside the Restricted Field.</w:t>
      </w:r>
    </w:p>
    <w:p>
      <w:pPr>
        <w:pStyle w:val="Heading2"/>
      </w:pPr>
      <w:r>
        <w:t xml:space="preserve">15. Liability</w:t>
      </w:r>
    </w:p>
    <w:p>
      <w:pPr/>
      <w:r>
        <w:t xml:space="preserve">15.1 No Member takes personal liability for the Collective’s obligations. If any arises despite this, the Founders will procure that the Company assumes it on incorporation, to the extent the law allows.</w:t>
      </w:r>
    </w:p>
    <w:p>
      <w:pPr/>
      <w:r>
        <w:t xml:space="preserve">15.2 A Member acting in good faith within their role is not liable to the others for an honest mistake. This does not cover fraud, wilful misconduct or breach of confidentiality or IP duties.</w:t>
      </w:r>
    </w:p>
    <w:p>
      <w:pPr>
        <w:pStyle w:val="Heading2"/>
      </w:pPr>
      <w:r>
        <w:t xml:space="preserve">16. Disputes</w:t>
      </w:r>
    </w:p>
    <w:p>
      <w:pPr/>
      <w:r>
        <w:t xml:space="preserve">16.1 Conflict ladder: speak directly (3 days); then both Founders hear it in writing (7 days); then mediation by a mediator agreed by the parties (up to 30 days).</w:t>
      </w:r>
    </w:p>
    <w:p>
      <w:pPr/>
      <w:r>
        <w:t xml:space="preserve">16.2 If mediation fails, the dispute is finally settled by arbitration under the Arbitration and Mediation Act 2023 before a sole arbitrator, seated in Lagos, in English, with remote hearings allowed. Either party may apply to a court for urgent relief to protect IP or confidential information.</w:t>
      </w:r>
    </w:p>
    <w:p>
      <w:pPr/>
      <w:r>
        <w:t xml:space="preserve">16.3 This MOU is governed by the laws of the Federal Republic of Nigeria.</w:t>
      </w:r>
    </w:p>
    <w:p>
      <w:pPr>
        <w:pStyle w:val="Heading2"/>
      </w:pPr>
      <w:r>
        <w:t xml:space="preserve">17. Conversion to the Company</w:t>
      </w:r>
    </w:p>
    <w:p>
      <w:pPr/>
      <w:r>
        <w:t xml:space="preserve">17.1 On the Incorporation Date the Founders will: have the Company adopt the commitments in this MOU by deed or agreement; execute the IP Contribution Deed; open the Company’s account with both Founders as signatories; and allot shares under clause 7 within [60] days.</w:t>
      </w:r>
    </w:p>
    <w:p>
      <w:pPr/>
      <w:r>
        <w:t xml:space="preserve">17.2 The Members will sign the documents the Company reasonably needs for this, including the share and vesting agreement and any IP confirmation, at no extra consideration.</w:t>
      </w:r>
    </w:p>
    <w:p>
      <w:pPr>
        <w:pStyle w:val="Heading2"/>
      </w:pPr>
      <w:r>
        <w:t xml:space="preserve">18. General</w:t>
      </w:r>
    </w:p>
    <w:p>
      <w:pPr/>
      <w:r>
        <w:t xml:space="preserve">18.1 This MOU, its Schedules, the Confidentiality Undertaking, the IP Assignment and the Equity Model are the whole agreement on their subject.</w:t>
      </w:r>
    </w:p>
    <w:p>
      <w:pPr/>
      <w:r>
        <w:t xml:space="preserve">18.2 Changes need both Founders’ written approval and written notice to every Member. A change that reduces a Member’s cash, shares or IP position needs that Member’s written consent.</w:t>
      </w:r>
    </w:p>
    <w:p>
      <w:pPr/>
      <w:r>
        <w:t xml:space="preserve">18.3 If a provision is unenforceable the rest continues. No delay waives a right. Counterparts and electronic signatures are valid.</w:t>
      </w:r>
    </w:p>
    <w:p>
      <w:pPr/>
      <w:r>
        <w:t xml:space="preserve">18.4 Notices go to the address or email in Schedule A and are effective when acknowledged.</w:t>
      </w:r>
    </w:p>
    <w:p>
      <w:pPr/>
      <w:r>
        <w:t xml:space="preserve">18.5 Stamp duty and registration costs are borne by [the Company / the Collective].</w:t>
      </w:r>
    </w:p>
    <w:p>
      <w:pPr/>
      <w:r>
        <w:t xml:space="preserve">18.6 </w:t>
      </w:r>
      <w:r>
        <w:rPr>
          <w:b/>
        </w:rPr>
        <w:t xml:space="preserve">Independent advice.</w:t>
      </w:r>
      <w:r>
        <w:t xml:space="preserve"> Each party confirms they were told they may take independent legal advice before signing, and either did or chose not to. The Members confirm they have had at least 7 days to read this MOU.</w:t>
      </w:r>
    </w:p>
    <w:p>
      <w:pPr>
        <w:pStyle w:val="Heading2"/>
      </w:pPr>
      <w:r>
        <w:t xml:space="preserve">Signatures</w:t>
      </w:r>
    </w:p>
    <w:p>
      <w:pPr/>
      <w:r>
        <w:t xml:space="preserve">For each of the six parties: </w:t>
      </w:r>
      <w:r>
        <w:rPr>
          <w:b/>
        </w:rPr>
        <w:t xml:space="preserve">Printed name</w:t>
      </w:r>
      <w:r>
        <w:t xml:space="preserve"> ____________ | </w:t>
      </w:r>
      <w:r>
        <w:rPr>
          <w:b/>
        </w:rPr>
        <w:t xml:space="preserve">Signature</w:t>
      </w:r>
      <w:r>
        <w:t xml:space="preserve"> ____________ | </w:t>
      </w:r>
      <w:r>
        <w:rPr>
          <w:b/>
        </w:rPr>
        <w:t xml:space="preserve">Date</w:t>
      </w:r>
      <w:r>
        <w:t xml:space="preserve"> ________ Witness (an independent adult): name ____________ address ____________ occupation ____________ signature ____________</w:t>
      </w:r>
    </w:p>
    <w:p>
      <w:pPr>
        <w:pStyle w:val="Heading2"/>
      </w:pPr>
      <w:r>
        <w:t xml:space="preserve">Schedule A: Parties register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Seat</w:t>
            </w:r>
          </w:p>
        </w:tc>
        <w:tc>
          <w:tcPr>
            <w:tcW w:w="1872" w:type="dxa"/>
            <w:shd w:val="clear" w:color="auto" w:fill="F2F2F2"/>
          </w:tcPr>
          <w:p>
            <w:pPr/>
            <w:r>
              <w:t xml:space="preserve">Name</w:t>
            </w:r>
          </w:p>
        </w:tc>
        <w:tc>
          <w:tcPr>
            <w:tcW w:w="1872" w:type="dxa"/>
            <w:shd w:val="clear" w:color="auto" w:fill="F2F2F2"/>
          </w:tcPr>
          <w:p>
            <w:pPr/>
            <w:r>
              <w:t xml:space="preserve">Role</w:t>
            </w:r>
          </w:p>
        </w:tc>
        <w:tc>
          <w:tcPr>
            <w:tcW w:w="1872" w:type="dxa"/>
            <w:shd w:val="clear" w:color="auto" w:fill="F2F2F2"/>
          </w:tcPr>
          <w:p>
            <w:pPr/>
            <w:r>
              <w:t xml:space="preserve">Start date</w:t>
            </w:r>
          </w:p>
        </w:tc>
        <w:tc>
          <w:tcPr>
            <w:tcW w:w="1872" w:type="dxa"/>
            <w:shd w:val="clear" w:color="auto" w:fill="F2F2F2"/>
          </w:tcPr>
          <w:p>
            <w:pPr/>
            <w:r>
              <w:t xml:space="preserve">Address / ID type and number / phone / email / emergency contact</w:t>
            </w:r>
          </w:p>
        </w:tc>
      </w:tr>
      <w:tr>
        <w:tc>
          <w:tcPr>
            <w:tcW w:w="1872" w:type="dxa"/>
          </w:tcPr>
          <w:p>
            <w:pPr/>
            <w:r>
              <w:t xml:space="preserve">Founder</w:t>
            </w:r>
          </w:p>
        </w:tc>
        <w:tc>
          <w:tcPr>
            <w:tcW w:w="1872" w:type="dxa"/>
          </w:tcPr>
          <w:p>
            <w:pPr/>
            <w:r>
              <w:t xml:space="preserve">Abdullahi Baba Garba</w:t>
            </w:r>
          </w:p>
        </w:tc>
        <w:tc>
          <w:tcPr>
            <w:tcW w:w="1872" w:type="dxa"/>
          </w:tcPr>
          <w:p>
            <w:pPr/>
            <w:r>
              <w:t xml:space="preserve">CEO/CTO</w:t>
            </w:r>
          </w:p>
        </w:tc>
        <w:tc>
          <w:tcPr>
            <w:tcW w:w="1872" w:type="dxa"/>
          </w:tcPr>
          <w:p>
            <w:pPr/>
            <w:r>
              <w:t xml:space="preserve">[date]</w:t>
            </w:r>
          </w:p>
        </w:tc>
        <w:tc>
          <w:tcPr>
            <w:tcW w:w="1872" w:type="dxa"/>
          </w:tcPr>
          <w:p>
            <w:pPr/>
            <w:r>
              <w:t xml:space="preserve">[to complete at signing]</w:t>
            </w:r>
          </w:p>
        </w:tc>
      </w:tr>
      <w:tr>
        <w:tc>
          <w:tcPr>
            <w:tcW w:w="1872" w:type="dxa"/>
          </w:tcPr>
          <w:p>
            <w:pPr/>
            <w:r>
              <w:t xml:space="preserve">Founder</w:t>
            </w:r>
          </w:p>
        </w:tc>
        <w:tc>
          <w:tcPr>
            <w:tcW w:w="1872" w:type="dxa"/>
          </w:tcPr>
          <w:p>
            <w:pPr/>
            <w:r>
              <w:t xml:space="preserve">Essien Frances Ekomobong</w:t>
            </w:r>
          </w:p>
        </w:tc>
        <w:tc>
          <w:tcPr>
            <w:tcW w:w="1872" w:type="dxa"/>
          </w:tcPr>
          <w:p>
            <w:pPr/>
            <w:r>
              <w:t xml:space="preserve">COO &amp; Research Lead</w:t>
            </w:r>
          </w:p>
        </w:tc>
        <w:tc>
          <w:tcPr>
            <w:tcW w:w="1872" w:type="dxa"/>
          </w:tcPr>
          <w:p>
            <w:pPr/>
            <w:r>
              <w:t xml:space="preserve">[date]</w:t>
            </w:r>
          </w:p>
        </w:tc>
        <w:tc>
          <w:tcPr>
            <w:tcW w:w="1872" w:type="dxa"/>
          </w:tcPr>
          <w:p>
            <w:pPr/>
            <w:r>
              <w:t xml:space="preserve">[to complete at signing]</w:t>
            </w:r>
          </w:p>
        </w:tc>
      </w:tr>
      <w:tr>
        <w:tc>
          <w:tcPr>
            <w:tcW w:w="1872" w:type="dxa"/>
          </w:tcPr>
          <w:p>
            <w:pPr/>
            <w:r>
              <w:t xml:space="preserve">B1</w:t>
            </w:r>
          </w:p>
        </w:tc>
        <w:tc>
          <w:tcPr>
            <w:tcW w:w="1872" w:type="dxa"/>
          </w:tcPr>
          <w:p>
            <w:pPr/>
            <w:r>
              <w:t xml:space="preserve">Essien Timiobong Dunnhill</w:t>
            </w:r>
          </w:p>
        </w:tc>
        <w:tc>
          <w:tcPr>
            <w:tcW w:w="1872" w:type="dxa"/>
          </w:tcPr>
          <w:p>
            <w:pPr/>
            <w:r>
              <w:t xml:space="preserve">Treasurer &amp; Research Assistant</w:t>
            </w:r>
          </w:p>
        </w:tc>
        <w:tc>
          <w:tcPr>
            <w:tcW w:w="1872" w:type="dxa"/>
          </w:tcPr>
          <w:p>
            <w:pPr/>
            <w:r>
              <w:t xml:space="preserve">[date]</w:t>
            </w:r>
          </w:p>
        </w:tc>
        <w:tc>
          <w:tcPr>
            <w:tcW w:w="1872" w:type="dxa"/>
          </w:tcPr>
          <w:p>
            <w:pPr/>
            <w:r>
              <w:t xml:space="preserve">[to complete at signing]</w:t>
            </w:r>
          </w:p>
        </w:tc>
      </w:tr>
      <w:tr>
        <w:tc>
          <w:tcPr>
            <w:tcW w:w="1872" w:type="dxa"/>
          </w:tcPr>
          <w:p>
            <w:pPr/>
            <w:r>
              <w:t xml:space="preserve">B2</w:t>
            </w:r>
          </w:p>
        </w:tc>
        <w:tc>
          <w:tcPr>
            <w:tcW w:w="1872" w:type="dxa"/>
          </w:tcPr>
          <w:p>
            <w:pPr/>
            <w:r>
              <w:t xml:space="preserve">Yusuf Azeemah Oyiza</w:t>
            </w:r>
          </w:p>
        </w:tc>
        <w:tc>
          <w:tcPr>
            <w:tcW w:w="1872" w:type="dxa"/>
          </w:tcPr>
          <w:p>
            <w:pPr/>
            <w:r>
              <w:t xml:space="preserve">Product Designer &amp; Manager</w:t>
            </w:r>
          </w:p>
        </w:tc>
        <w:tc>
          <w:tcPr>
            <w:tcW w:w="1872" w:type="dxa"/>
          </w:tcPr>
          <w:p>
            <w:pPr/>
            <w:r>
              <w:t xml:space="preserve">[date]</w:t>
            </w:r>
          </w:p>
        </w:tc>
        <w:tc>
          <w:tcPr>
            <w:tcW w:w="1872" w:type="dxa"/>
          </w:tcPr>
          <w:p>
            <w:pPr/>
            <w:r>
              <w:t xml:space="preserve">[to complete at signing]</w:t>
            </w:r>
          </w:p>
        </w:tc>
      </w:tr>
      <w:tr>
        <w:tc>
          <w:tcPr>
            <w:tcW w:w="1872" w:type="dxa"/>
          </w:tcPr>
          <w:p>
            <w:pPr/>
            <w:r>
              <w:t xml:space="preserve">C</w:t>
            </w:r>
          </w:p>
        </w:tc>
        <w:tc>
          <w:tcPr>
            <w:tcW w:w="1872" w:type="dxa"/>
          </w:tcPr>
          <w:p>
            <w:pPr/>
            <w:r>
              <w:t xml:space="preserve">David Uzondu</w:t>
            </w:r>
          </w:p>
        </w:tc>
        <w:tc>
          <w:tcPr>
            <w:tcW w:w="1872" w:type="dxa"/>
          </w:tcPr>
          <w:p>
            <w:pPr/>
            <w:r>
              <w:t xml:space="preserve">Lead Engineer</w:t>
            </w:r>
          </w:p>
        </w:tc>
        <w:tc>
          <w:tcPr>
            <w:tcW w:w="1872" w:type="dxa"/>
          </w:tcPr>
          <w:p>
            <w:pPr/>
            <w:r>
              <w:t xml:space="preserve">[date]</w:t>
            </w:r>
          </w:p>
        </w:tc>
        <w:tc>
          <w:tcPr>
            <w:tcW w:w="1872" w:type="dxa"/>
          </w:tcPr>
          <w:p>
            <w:pPr/>
            <w:r>
              <w:t xml:space="preserve">[to complete at signing]</w:t>
            </w:r>
          </w:p>
        </w:tc>
      </w:tr>
      <w:tr>
        <w:tc>
          <w:tcPr>
            <w:tcW w:w="1872" w:type="dxa"/>
          </w:tcPr>
          <w:p>
            <w:pPr/>
            <w:r>
              <w:t xml:space="preserve">D</w:t>
            </w:r>
          </w:p>
        </w:tc>
        <w:tc>
          <w:tcPr>
            <w:tcW w:w="1872" w:type="dxa"/>
          </w:tcPr>
          <w:p>
            <w:pPr/>
            <w:r>
              <w:t xml:space="preserve">Abdulazeez Masud</w:t>
            </w:r>
          </w:p>
        </w:tc>
        <w:tc>
          <w:tcPr>
            <w:tcW w:w="1872" w:type="dxa"/>
          </w:tcPr>
          <w:p>
            <w:pPr/>
            <w:r>
              <w:t xml:space="preserve">Assistant to the Lead Engineer</w:t>
            </w:r>
          </w:p>
        </w:tc>
        <w:tc>
          <w:tcPr>
            <w:tcW w:w="1872" w:type="dxa"/>
          </w:tcPr>
          <w:p>
            <w:pPr/>
            <w:r>
              <w:t xml:space="preserve">[date]</w:t>
            </w:r>
          </w:p>
        </w:tc>
        <w:tc>
          <w:tcPr>
            <w:tcW w:w="1872" w:type="dxa"/>
          </w:tcPr>
          <w:p>
            <w:pPr/>
            <w:r>
              <w:t xml:space="preserve">[to complete at signing]</w:t>
            </w:r>
          </w:p>
        </w:tc>
      </w:tr>
    </w:tbl>
    <w:p>
      <w:pPr>
        <w:pStyle w:val="Heading2"/>
      </w:pPr>
      <w:r>
        <w:t xml:space="preserve">Schedule B: Seats, duties and Contribution Standard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Seat</w:t>
            </w:r>
          </w:p>
        </w:tc>
        <w:tc>
          <w:tcPr>
            <w:tcW w:w="3120" w:type="dxa"/>
            <w:shd w:val="clear" w:color="auto" w:fill="F2F2F2"/>
          </w:tcPr>
          <w:p>
            <w:pPr/>
            <w:r>
              <w:t xml:space="preserve">Duties</w:t>
            </w:r>
          </w:p>
        </w:tc>
        <w:tc>
          <w:tcPr>
            <w:tcW w:w="3120" w:type="dxa"/>
            <w:shd w:val="clear" w:color="auto" w:fill="F2F2F2"/>
          </w:tcPr>
          <w:p>
            <w:pPr/>
            <w:r>
              <w:t xml:space="preserve">Minimum hours per week</w:t>
            </w:r>
          </w:p>
        </w:tc>
      </w:tr>
      <w:tr>
        <w:tc>
          <w:tcPr>
            <w:tcW w:w="3120" w:type="dxa"/>
          </w:tcPr>
          <w:p>
            <w:pPr/>
            <w:r>
              <w:t xml:space="preserve">CEO/CTO</w:t>
            </w:r>
          </w:p>
        </w:tc>
        <w:tc>
          <w:tcPr>
            <w:tcW w:w="3120" w:type="dxa"/>
          </w:tcPr>
          <w:p>
            <w:pPr/>
            <w:r>
              <w:t xml:space="preserve">Technical architecture, roadmap, engineering direction, release approval, official contact</w:t>
            </w:r>
          </w:p>
        </w:tc>
        <w:tc>
          <w:tcPr>
            <w:tcW w:w="3120" w:type="dxa"/>
          </w:tcPr>
          <w:p>
            <w:pPr/>
            <w:r>
              <w:t xml:space="preserve">[25]</w:t>
            </w:r>
          </w:p>
        </w:tc>
      </w:tr>
      <w:tr>
        <w:tc>
          <w:tcPr>
            <w:tcW w:w="3120" w:type="dxa"/>
          </w:tcPr>
          <w:p>
            <w:pPr/>
            <w:r>
              <w:t xml:space="preserve">COO &amp; Research Lead</w:t>
            </w:r>
          </w:p>
        </w:tc>
        <w:tc>
          <w:tcPr>
            <w:tcW w:w="3120" w:type="dxa"/>
          </w:tcPr>
          <w:p>
            <w:pPr/>
            <w:r>
              <w:t xml:space="preserve">Operations, compliance, research programme, partnerships execution, member process</w:t>
            </w:r>
          </w:p>
        </w:tc>
        <w:tc>
          <w:tcPr>
            <w:tcW w:w="3120" w:type="dxa"/>
          </w:tcPr>
          <w:p>
            <w:pPr/>
            <w:r>
              <w:t xml:space="preserve">[12]</w:t>
            </w:r>
          </w:p>
        </w:tc>
      </w:tr>
      <w:tr>
        <w:tc>
          <w:tcPr>
            <w:tcW w:w="3120" w:type="dxa"/>
          </w:tcPr>
          <w:p>
            <w:pPr/>
            <w:r>
              <w:t xml:space="preserve">Treasurer &amp; Research Assistant</w:t>
            </w:r>
          </w:p>
        </w:tc>
        <w:tc>
          <w:tcPr>
            <w:tcW w:w="3120" w:type="dxa"/>
          </w:tcPr>
          <w:p>
            <w:pPr/>
            <w:r>
              <w:t xml:space="preserve">Ledger, receipts, monthly statement, cap-table upkeep, research support. No payment authority</w:t>
            </w:r>
          </w:p>
        </w:tc>
        <w:tc>
          <w:tcPr>
            <w:tcW w:w="3120" w:type="dxa"/>
          </w:tcPr>
          <w:p>
            <w:pPr/>
            <w:r>
              <w:t xml:space="preserve">[6, to be agreed with the Member]</w:t>
            </w:r>
          </w:p>
        </w:tc>
      </w:tr>
      <w:tr>
        <w:tc>
          <w:tcPr>
            <w:tcW w:w="3120" w:type="dxa"/>
          </w:tcPr>
          <w:p>
            <w:pPr/>
            <w:r>
              <w:t xml:space="preserve">Product Designer &amp; Manager</w:t>
            </w:r>
          </w:p>
        </w:tc>
        <w:tc>
          <w:tcPr>
            <w:tcW w:w="3120" w:type="dxa"/>
          </w:tcPr>
          <w:p>
            <w:pPr/>
            <w:r>
              <w:t xml:space="preserve">Delivery plan, QA, design, competition logistics</w:t>
            </w:r>
          </w:p>
        </w:tc>
        <w:tc>
          <w:tcPr>
            <w:tcW w:w="3120" w:type="dxa"/>
          </w:tcPr>
          <w:p>
            <w:pPr/>
            <w:r>
              <w:t xml:space="preserve">[12]</w:t>
            </w:r>
          </w:p>
        </w:tc>
      </w:tr>
      <w:tr>
        <w:tc>
          <w:tcPr>
            <w:tcW w:w="3120" w:type="dxa"/>
          </w:tcPr>
          <w:p>
            <w:pPr/>
            <w:r>
              <w:t xml:space="preserve">Lead Engineer</w:t>
            </w:r>
          </w:p>
        </w:tc>
        <w:tc>
          <w:tcPr>
            <w:tcW w:w="3120" w:type="dxa"/>
          </w:tcPr>
          <w:p>
            <w:pPr/>
            <w:r>
              <w:t xml:space="preserve">Hardware, embedded and RF systems, engineering standards, Safety Stop owner</w:t>
            </w:r>
          </w:p>
        </w:tc>
        <w:tc>
          <w:tcPr>
            <w:tcW w:w="3120" w:type="dxa"/>
          </w:tcPr>
          <w:p>
            <w:pPr/>
            <w:r>
              <w:t xml:space="preserve">[8]</w:t>
            </w:r>
          </w:p>
        </w:tc>
      </w:tr>
      <w:tr>
        <w:tc>
          <w:tcPr>
            <w:tcW w:w="3120" w:type="dxa"/>
          </w:tcPr>
          <w:p>
            <w:pPr/>
            <w:r>
              <w:t xml:space="preserve">Assistant to the Lead Engineer</w:t>
            </w:r>
          </w:p>
        </w:tc>
        <w:tc>
          <w:tcPr>
            <w:tcW w:w="3120" w:type="dxa"/>
          </w:tcPr>
          <w:p>
            <w:pPr/>
            <w:r>
              <w:t xml:space="preserve">Hardware, CAD, electronics and systems support</w:t>
            </w:r>
          </w:p>
        </w:tc>
        <w:tc>
          <w:tcPr>
            <w:tcW w:w="3120" w:type="dxa"/>
          </w:tcPr>
          <w:p>
            <w:pPr/>
            <w:r>
              <w:t xml:space="preserve">[8]</w:t>
            </w:r>
          </w:p>
        </w:tc>
      </w:tr>
    </w:tbl>
    <w:p>
      <w:pPr>
        <w:pStyle w:val="Heading2"/>
      </w:pPr>
      <w:r>
        <w:t xml:space="preserve">Schedule C: Layer A waterfall (until the Incorporation Date)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Beneficiary</w:t>
            </w:r>
          </w:p>
        </w:tc>
        <w:tc>
          <w:tcPr>
            <w:tcW w:w="4680" w:type="dxa"/>
            <w:shd w:val="clear" w:color="auto" w:fill="F2F2F2"/>
          </w:tcPr>
          <w:p>
            <w:pPr/>
            <w:r>
              <w:t xml:space="preserve">% of Net Gains</w:t>
            </w:r>
          </w:p>
        </w:tc>
      </w:tr>
      <w:tr>
        <w:tc>
          <w:tcPr>
            <w:tcW w:w="4680" w:type="dxa"/>
          </w:tcPr>
          <w:p>
            <w:pPr/>
            <w:r>
              <w:t xml:space="preserve">Treasury (held for the Company; includes the Adviser seat share)</w:t>
            </w:r>
          </w:p>
        </w:tc>
        <w:tc>
          <w:tcPr>
            <w:tcW w:w="4680" w:type="dxa"/>
          </w:tcPr>
          <w:p>
            <w:pPr/>
            <w:r>
              <w:t xml:space="preserve">70.0</w:t>
            </w:r>
          </w:p>
        </w:tc>
      </w:tr>
      <w:tr>
        <w:tc>
          <w:tcPr>
            <w:tcW w:w="4680" w:type="dxa"/>
          </w:tcPr>
          <w:p>
            <w:pPr/>
            <w:r>
              <w:t xml:space="preserve">Garba</w:t>
            </w:r>
          </w:p>
        </w:tc>
        <w:tc>
          <w:tcPr>
            <w:tcW w:w="4680" w:type="dxa"/>
          </w:tcPr>
          <w:p>
            <w:pPr/>
            <w:r>
              <w:t xml:space="preserve">6.0</w:t>
            </w:r>
          </w:p>
        </w:tc>
      </w:tr>
      <w:tr>
        <w:tc>
          <w:tcPr>
            <w:tcW w:w="4680" w:type="dxa"/>
          </w:tcPr>
          <w:p>
            <w:pPr/>
            <w:r>
              <w:t xml:space="preserve">Frances</w:t>
            </w:r>
          </w:p>
        </w:tc>
        <w:tc>
          <w:tcPr>
            <w:tcW w:w="4680" w:type="dxa"/>
          </w:tcPr>
          <w:p>
            <w:pPr/>
            <w:r>
              <w:t xml:space="preserve">6.0</w:t>
            </w:r>
          </w:p>
        </w:tc>
      </w:tr>
      <w:tr>
        <w:tc>
          <w:tcPr>
            <w:tcW w:w="4680" w:type="dxa"/>
          </w:tcPr>
          <w:p>
            <w:pPr/>
            <w:r>
              <w:t xml:space="preserve">Treasurer (B1)</w:t>
            </w:r>
          </w:p>
        </w:tc>
        <w:tc>
          <w:tcPr>
            <w:tcW w:w="4680" w:type="dxa"/>
          </w:tcPr>
          <w:p>
            <w:pPr/>
            <w:r>
              <w:t xml:space="preserve">4.5</w:t>
            </w:r>
          </w:p>
        </w:tc>
      </w:tr>
      <w:tr>
        <w:tc>
          <w:tcPr>
            <w:tcW w:w="4680" w:type="dxa"/>
          </w:tcPr>
          <w:p>
            <w:pPr/>
            <w:r>
              <w:t xml:space="preserve">Product Designer &amp; Manager (B2)</w:t>
            </w:r>
          </w:p>
        </w:tc>
        <w:tc>
          <w:tcPr>
            <w:tcW w:w="4680" w:type="dxa"/>
          </w:tcPr>
          <w:p>
            <w:pPr/>
            <w:r>
              <w:t xml:space="preserve">4.5</w:t>
            </w:r>
          </w:p>
        </w:tc>
      </w:tr>
      <w:tr>
        <w:tc>
          <w:tcPr>
            <w:tcW w:w="4680" w:type="dxa"/>
          </w:tcPr>
          <w:p>
            <w:pPr/>
            <w:r>
              <w:t xml:space="preserve">Lead Engineer (C)</w:t>
            </w:r>
          </w:p>
        </w:tc>
        <w:tc>
          <w:tcPr>
            <w:tcW w:w="4680" w:type="dxa"/>
          </w:tcPr>
          <w:p>
            <w:pPr/>
            <w:r>
              <w:t xml:space="preserve">4.5</w:t>
            </w:r>
          </w:p>
        </w:tc>
      </w:tr>
      <w:tr>
        <w:tc>
          <w:tcPr>
            <w:tcW w:w="4680" w:type="dxa"/>
          </w:tcPr>
          <w:p>
            <w:pPr/>
            <w:r>
              <w:t xml:space="preserve">Assistant to the Lead Engineer (D)</w:t>
            </w:r>
          </w:p>
        </w:tc>
        <w:tc>
          <w:tcPr>
            <w:tcW w:w="4680" w:type="dxa"/>
          </w:tcPr>
          <w:p>
            <w:pPr/>
            <w:r>
              <w:t xml:space="preserve">4.5</w:t>
            </w:r>
          </w:p>
        </w:tc>
      </w:tr>
      <w:tr>
        <w:tc>
          <w:tcPr>
            <w:tcW w:w="4680" w:type="dxa"/>
          </w:tcPr>
          <w:p>
            <w:pPr/>
            <w:r>
              <w:rPr>
                <w:b/>
              </w:rPr>
              <w:t xml:space="preserve">Total</w:t>
            </w:r>
          </w:p>
        </w:tc>
        <w:tc>
          <w:tcPr>
            <w:tcW w:w="4680" w:type="dxa"/>
          </w:tcPr>
          <w:p>
            <w:pPr/>
            <w:r>
              <w:rPr>
                <w:b/>
              </w:rPr>
              <w:t xml:space="preserve">100.0</w:t>
            </w:r>
          </w:p>
        </w:tc>
      </w:tr>
    </w:tbl>
    <w:p>
      <w:pPr/>
      <w:r>
        <w:t xml:space="preserve">Worked example: Net Gains of ₦1,000,000 give Treasury ₦700,000, each Founder ₦60,000 and each Member ₦45,000.</w:t>
      </w:r>
    </w:p>
    <w:p>
      <w:pPr>
        <w:pStyle w:val="Heading2"/>
      </w:pPr>
      <w:r>
        <w:t xml:space="preserve">Schedule D: Layer B allocation and vesting (fully diluted)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Member</w:t>
            </w:r>
          </w:p>
        </w:tc>
        <w:tc>
          <w:tcPr>
            <w:tcW w:w="2340" w:type="dxa"/>
            <w:shd w:val="clear" w:color="auto" w:fill="F2F2F2"/>
          </w:tcPr>
          <w:p>
            <w:pPr/>
            <w:r>
              <w:t xml:space="preserve">% fully diluted</w:t>
            </w:r>
          </w:p>
        </w:tc>
        <w:tc>
          <w:tcPr>
            <w:tcW w:w="2340" w:type="dxa"/>
            <w:shd w:val="clear" w:color="auto" w:fill="F2F2F2"/>
          </w:tcPr>
          <w:p>
            <w:pPr/>
            <w:r>
              <w:t xml:space="preserve">Vesting</w:t>
            </w:r>
          </w:p>
        </w:tc>
        <w:tc>
          <w:tcPr>
            <w:tcW w:w="2340" w:type="dxa"/>
            <w:shd w:val="clear" w:color="auto" w:fill="F2F2F2"/>
          </w:tcPr>
          <w:p>
            <w:pPr/>
            <w:r>
              <w:t xml:space="preserve">Starts</w:t>
            </w:r>
          </w:p>
        </w:tc>
      </w:tr>
      <w:tr>
        <w:tc>
          <w:tcPr>
            <w:tcW w:w="2340" w:type="dxa"/>
          </w:tcPr>
          <w:p>
            <w:pPr/>
            <w:r>
              <w:t xml:space="preserve">Treasurer (B1)</w:t>
            </w:r>
          </w:p>
        </w:tc>
        <w:tc>
          <w:tcPr>
            <w:tcW w:w="2340" w:type="dxa"/>
          </w:tcPr>
          <w:p>
            <w:pPr/>
            <w:r>
              <w:t xml:space="preserve">4.5</w:t>
            </w:r>
          </w:p>
        </w:tc>
        <w:tc>
          <w:tcPr>
            <w:tcW w:w="2340" w:type="dxa"/>
          </w:tcPr>
          <w:p>
            <w:pPr/>
            <w:r>
              <w:t xml:space="preserve">4 years; 6-month cliff (12.5%); then monthly</w:t>
            </w:r>
          </w:p>
        </w:tc>
        <w:tc>
          <w:tcPr>
            <w:tcW w:w="2340" w:type="dxa"/>
          </w:tcPr>
          <w:p>
            <w:pPr/>
            <w:r>
              <w:t xml:space="preserve">[date active contribution began]</w:t>
            </w:r>
          </w:p>
        </w:tc>
      </w:tr>
      <w:tr>
        <w:tc>
          <w:tcPr>
            <w:tcW w:w="2340" w:type="dxa"/>
          </w:tcPr>
          <w:p>
            <w:pPr/>
            <w:r>
              <w:t xml:space="preserve">Product Designer &amp; Manager (B2)</w:t>
            </w:r>
          </w:p>
        </w:tc>
        <w:tc>
          <w:tcPr>
            <w:tcW w:w="2340" w:type="dxa"/>
          </w:tcPr>
          <w:p>
            <w:pPr/>
            <w:r>
              <w:t xml:space="preserve">4.5</w:t>
            </w:r>
          </w:p>
        </w:tc>
        <w:tc>
          <w:tcPr>
            <w:tcW w:w="2340" w:type="dxa"/>
          </w:tcPr>
          <w:p>
            <w:pPr/>
            <w:r>
              <w:t xml:space="preserve">same</w:t>
            </w:r>
          </w:p>
        </w:tc>
        <w:tc>
          <w:tcPr>
            <w:tcW w:w="2340" w:type="dxa"/>
          </w:tcPr>
          <w:p>
            <w:pPr/>
            <w:r>
              <w:t xml:space="preserve">[date]</w:t>
            </w:r>
          </w:p>
        </w:tc>
      </w:tr>
      <w:tr>
        <w:tc>
          <w:tcPr>
            <w:tcW w:w="2340" w:type="dxa"/>
          </w:tcPr>
          <w:p>
            <w:pPr/>
            <w:r>
              <w:t xml:space="preserve">Lead Engineer (C)</w:t>
            </w:r>
          </w:p>
        </w:tc>
        <w:tc>
          <w:tcPr>
            <w:tcW w:w="2340" w:type="dxa"/>
          </w:tcPr>
          <w:p>
            <w:pPr/>
            <w:r>
              <w:t xml:space="preserve">4.5</w:t>
            </w:r>
          </w:p>
        </w:tc>
        <w:tc>
          <w:tcPr>
            <w:tcW w:w="2340" w:type="dxa"/>
          </w:tcPr>
          <w:p>
            <w:pPr/>
            <w:r>
              <w:t xml:space="preserve">same</w:t>
            </w:r>
          </w:p>
        </w:tc>
        <w:tc>
          <w:tcPr>
            <w:tcW w:w="2340" w:type="dxa"/>
          </w:tcPr>
          <w:p>
            <w:pPr/>
            <w:r>
              <w:t xml:space="preserve">[date]</w:t>
            </w:r>
          </w:p>
        </w:tc>
      </w:tr>
      <w:tr>
        <w:tc>
          <w:tcPr>
            <w:tcW w:w="2340" w:type="dxa"/>
          </w:tcPr>
          <w:p>
            <w:pPr/>
            <w:r>
              <w:t xml:space="preserve">Assistant to the Lead Engineer (D)</w:t>
            </w:r>
          </w:p>
        </w:tc>
        <w:tc>
          <w:tcPr>
            <w:tcW w:w="2340" w:type="dxa"/>
          </w:tcPr>
          <w:p>
            <w:pPr/>
            <w:r>
              <w:t xml:space="preserve">4.5</w:t>
            </w:r>
          </w:p>
        </w:tc>
        <w:tc>
          <w:tcPr>
            <w:tcW w:w="2340" w:type="dxa"/>
          </w:tcPr>
          <w:p>
            <w:pPr/>
            <w:r>
              <w:t xml:space="preserve">same</w:t>
            </w:r>
          </w:p>
        </w:tc>
        <w:tc>
          <w:tcPr>
            <w:tcW w:w="2340" w:type="dxa"/>
          </w:tcPr>
          <w:p>
            <w:pPr/>
            <w:r>
              <w:t xml:space="preserve">[date]</w:t>
            </w:r>
          </w:p>
        </w:tc>
      </w:tr>
    </w:tbl>
    <w:p>
      <w:pPr/>
      <w:r>
        <w:t xml:space="preserve">A month vests only if the Contribution Standard was met or leave was approved. Founders’ shares are set in the Founders’ Agreement; the Adviser’s in the Adviser Agreement.</w:t>
      </w:r>
    </w:p>
    <w:p>
      <w:pPr>
        <w:pStyle w:val="Heading2"/>
      </w:pPr>
      <w:r>
        <w:t xml:space="preserve">Schedule E: Notices</w:t>
      </w:r>
    </w:p>
    <w:p>
      <w:pPr/>
      <w:r>
        <w:t xml:space="preserve">Notices to the Founders go to [email]; to a Member at their Schedule A address and email.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Member Collaboration MOU &amp; Terms and Conditions — BOLTE (Draft v1.0)</dc:title>
  <dc:description>Claude Docs node/e4280592-975a@1 docx-w6</dc:description>
  <cp:revision>1</cp:revision>
</cp:coreProperties>
</file>