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Confidentiality Undertaking &amp; NDA — BOLTE (Draft v1.0)</w:t>
      </w:r>
    </w:p>
    <w:p>
      <w:pPr/>
      <w:r>
        <w:t xml:space="preserve">Oct 2, 2026</w:t>
      </w:r>
      <w:r>
        <w:t xml:space="preserve"> · </w:t>
      </w:r>
      <w:r>
        <w:t xml:space="preserve">@Garba Abdullahi Baba</w:t>
      </w:r>
    </w:p>
    <w:p>
      <w:pPr/>
      <w:r>
        <w:rPr>
          <w:i/>
        </w:rPr>
        <w:t xml:space="preserve">Two instruments in one document. Part A is signed by every member, founder and the Adviser. Part B is the mutual NDA for outsiders such as investors, partners, universities, suppliers and government or military contacts. Draft for review by Nigerian counsel. Not legal advice.</w:t>
      </w:r>
    </w:p>
    <w:p>
      <w:pPr>
        <w:pStyle w:val="Heading2"/>
      </w:pPr>
      <w:r>
        <w:t xml:space="preserve">Which part do I sign?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Who</w:t>
            </w:r>
          </w:p>
        </w:tc>
        <w:tc>
          <w:tcPr>
            <w:tcW w:w="3120" w:type="dxa"/>
            <w:shd w:val="clear" w:color="auto" w:fill="F2F2F2"/>
          </w:tcPr>
          <w:p>
            <w:pPr/>
            <w:r>
              <w:t xml:space="preserve">Sign</w:t>
            </w:r>
          </w:p>
        </w:tc>
        <w:tc>
          <w:tcPr>
            <w:tcW w:w="3120" w:type="dxa"/>
            <w:shd w:val="clear" w:color="auto" w:fill="F2F2F2"/>
          </w:tcPr>
          <w:p>
            <w:pPr/>
            <w:r>
              <w:t xml:space="preserve">When</w:t>
            </w:r>
          </w:p>
        </w:tc>
      </w:tr>
      <w:tr>
        <w:tc>
          <w:tcPr>
            <w:tcW w:w="3120" w:type="dxa"/>
          </w:tcPr>
          <w:p>
            <w:pPr/>
            <w:r>
              <w:t xml:space="preserve">Founders, Core Team Members, the Adviser</w:t>
            </w:r>
          </w:p>
        </w:tc>
        <w:tc>
          <w:tcPr>
            <w:tcW w:w="3120" w:type="dxa"/>
          </w:tcPr>
          <w:p>
            <w:pPr/>
            <w:r>
              <w:t xml:space="preserve">Part A</w:t>
            </w:r>
          </w:p>
        </w:tc>
        <w:tc>
          <w:tcPr>
            <w:tcW w:w="3120" w:type="dxa"/>
          </w:tcPr>
          <w:p>
            <w:pPr/>
            <w:r>
              <w:t xml:space="preserve">Before receiving any internal or restricted material</w:t>
            </w:r>
          </w:p>
        </w:tc>
      </w:tr>
      <w:tr>
        <w:tc>
          <w:tcPr>
            <w:tcW w:w="3120" w:type="dxa"/>
          </w:tcPr>
          <w:p>
            <w:pPr/>
            <w:r>
              <w:t xml:space="preserve">Investors, partners, suppliers, universities, agencies, anyone outside BOLTE</w:t>
            </w:r>
          </w:p>
        </w:tc>
        <w:tc>
          <w:tcPr>
            <w:tcW w:w="3120" w:type="dxa"/>
          </w:tcPr>
          <w:p>
            <w:pPr/>
            <w:r>
              <w:t xml:space="preserve">Part B</w:t>
            </w:r>
          </w:p>
        </w:tc>
        <w:tc>
          <w:tcPr>
            <w:tcW w:w="3120" w:type="dxa"/>
          </w:tcPr>
          <w:p>
            <w:pPr/>
            <w:r>
              <w:t xml:space="preserve">Before any discussion that goes beyond public material</w:t>
            </w:r>
          </w:p>
        </w:tc>
      </w:tr>
    </w:tbl>
    <w:p>
      <w:pPr/>
      <w:r>
        <w:t xml:space="preserve">Nobody outside BOLTE sees restricted designs, intercept or threat logic, deployment configurations or source code under Part B alone. Those need a separate written agreement approved by both Founders.</w:t>
      </w:r>
    </w:p>
    <w:p>
      <w:pPr>
        <w:pStyle w:val="Heading1"/>
      </w:pPr>
      <w:r>
        <w:t xml:space="preserve">PART A: CONFIDENTIALITY UNDERTAKING (members, founders, Adviser)</w:t>
      </w:r>
    </w:p>
    <w:p>
      <w:pPr/>
      <w:r>
        <w:t xml:space="preserve">This Undertaking is given on [date] by </w:t>
      </w:r>
      <w:r>
        <w:rPr>
          <w:b/>
        </w:rPr>
        <w:t xml:space="preserve">[full name]</w:t>
      </w:r>
      <w:r>
        <w:t xml:space="preserve"> of [address] (the </w:t>
      </w:r>
      <w:r>
        <w:rPr>
          <w:b/>
        </w:rPr>
        <w:t xml:space="preserve">Recipient</w:t>
      </w:r>
      <w:r>
        <w:t xml:space="preserve">) in favour of the Founders, as trustees for the BOLTE Collective, and from the Incorporation Date in favour of [BOLTE [Technologies] Limited] (together </w:t>
      </w:r>
      <w:r>
        <w:rPr>
          <w:b/>
        </w:rPr>
        <w:t xml:space="preserve">BOLTE</w:t>
      </w:r>
      <w:r>
        <w:t xml:space="preserve">). BOLTE’s rights under it pass to the Company on incorporation.</w:t>
      </w:r>
    </w:p>
    <w:p>
      <w:pPr>
        <w:pStyle w:val="Heading2"/>
      </w:pPr>
      <w:r>
        <w:t xml:space="preserve">1. Confidential Information</w:t>
      </w:r>
    </w:p>
    <w:p>
      <w:pPr/>
      <w:r>
        <w:t xml:space="preserve">1.1 </w:t>
      </w:r>
      <w:r>
        <w:rPr>
          <w:b/>
        </w:rPr>
        <w:t xml:space="preserve">Confidential Information</w:t>
      </w:r>
      <w:r>
        <w:t xml:space="preserve"> means all non-public information about BOLTE or its work that the Recipient receives or creates, in any form, including:</w:t>
      </w:r>
    </w:p>
    <w:p>
      <w:pPr>
        <w:pStyle w:val="ListParagraph"/>
        <w:numPr>
          <w:ilvl w:val="0"/>
          <w:numId w:val="2"/>
        </w:numPr>
      </w:pPr>
      <w:r>
        <w:t xml:space="preserve">designs, source code, algorithms, specifications, drawings, test data, sensor captures and prototypes, including AeroPulse-NG and every other BOLTE project and the HFP-X programme documents and drawings;</w:t>
      </w:r>
    </w:p>
    <w:p>
      <w:pPr>
        <w:pStyle w:val="ListParagraph"/>
        <w:numPr>
          <w:ilvl w:val="0"/>
          <w:numId w:val="2"/>
        </w:numPr>
      </w:pPr>
      <w:r>
        <w:t xml:space="preserve">intercept and threat logic, detection libraries and deployment configurations;</w:t>
      </w:r>
    </w:p>
    <w:p>
      <w:pPr>
        <w:pStyle w:val="ListParagraph"/>
        <w:numPr>
          <w:ilvl w:val="0"/>
          <w:numId w:val="2"/>
        </w:numPr>
      </w:pPr>
      <w:r>
        <w:t xml:space="preserve">business plans, financial records, ledgers, the cap table, pricing and funding discussions;</w:t>
      </w:r>
    </w:p>
    <w:p>
      <w:pPr>
        <w:pStyle w:val="ListParagraph"/>
        <w:numPr>
          <w:ilvl w:val="0"/>
          <w:numId w:val="2"/>
        </w:numPr>
      </w:pPr>
      <w:r>
        <w:t xml:space="preserve">information about members, including personal data;</w:t>
      </w:r>
    </w:p>
    <w:p>
      <w:pPr>
        <w:pStyle w:val="ListParagraph"/>
        <w:numPr>
          <w:ilvl w:val="0"/>
          <w:numId w:val="2"/>
        </w:numPr>
      </w:pPr>
      <w:r>
        <w:t xml:space="preserve">competition materials before they are published;</w:t>
      </w:r>
    </w:p>
    <w:p>
      <w:pPr>
        <w:pStyle w:val="ListParagraph"/>
        <w:numPr>
          <w:ilvl w:val="0"/>
          <w:numId w:val="2"/>
        </w:numPr>
      </w:pPr>
      <w:r>
        <w:t xml:space="preserve">discussions with investors, partners, universities and public bodies; and</w:t>
      </w:r>
    </w:p>
    <w:p>
      <w:pPr>
        <w:pStyle w:val="ListParagraph"/>
        <w:numPr>
          <w:ilvl w:val="0"/>
          <w:numId w:val="2"/>
        </w:numPr>
      </w:pPr>
      <w:r>
        <w:t xml:space="preserve">anything marked confidential or that a reasonable person would see as confidential.</w:t>
      </w:r>
    </w:p>
    <w:p>
      <w:pPr/>
      <w:r>
        <w:t xml:space="preserve">1.2 </w:t>
      </w:r>
      <w:r>
        <w:rPr>
          <w:b/>
        </w:rPr>
        <w:t xml:space="preserve">Controlled Information</w:t>
      </w:r>
      <w:r>
        <w:t xml:space="preserve"> is Confidential Information that a government, military, university or partner has shared with BOLTE under restriction. It is handled under any stricter rules the provider set.</w:t>
      </w:r>
    </w:p>
    <w:p>
      <w:pPr/>
      <w:r>
        <w:t xml:space="preserve">1.3 The duties in this Undertaking do not apply to information that: (a) is or becomes public without the Recipient’s breach; (b) the Recipient already held, shown by written records; (c) the Recipient develops independently without using Confidential Information, shown by records; or (d) the Recipient lawfully receives from a third party who owed no duty of confidence.</w:t>
      </w:r>
    </w:p>
    <w:p>
      <w:pPr>
        <w:pStyle w:val="Heading2"/>
      </w:pPr>
      <w:r>
        <w:t xml:space="preserve">2. The Recipient’s duties</w:t>
      </w:r>
    </w:p>
    <w:p>
      <w:pPr/>
      <w:r>
        <w:t xml:space="preserve">The Recipient will:</w:t>
      </w:r>
    </w:p>
    <w:p>
      <w:pPr>
        <w:pStyle w:val="ListParagraph"/>
        <w:numPr>
          <w:ilvl w:val="0"/>
          <w:numId w:val="3"/>
        </w:numPr>
      </w:pPr>
      <w:r>
        <w:t xml:space="preserve">use Confidential Information only for BOLTE’s purposes (researching, building, competing and operating under the Canon);</w:t>
      </w:r>
    </w:p>
    <w:p>
      <w:pPr>
        <w:pStyle w:val="ListParagraph"/>
        <w:numPr>
          <w:ilvl w:val="0"/>
          <w:numId w:val="3"/>
        </w:numPr>
      </w:pPr>
      <w:r>
        <w:t xml:space="preserve">not disclose it to anyone without written permission from both Founders;</w:t>
      </w:r>
    </w:p>
    <w:p>
      <w:pPr>
        <w:pStyle w:val="ListParagraph"/>
        <w:numPr>
          <w:ilvl w:val="0"/>
          <w:numId w:val="3"/>
        </w:numPr>
      </w:pPr>
      <w:r>
        <w:t xml:space="preserve">protect it with at least reasonable care, and not less than their own most sensitive information;</w:t>
      </w:r>
    </w:p>
    <w:p>
      <w:pPr>
        <w:pStyle w:val="ListParagraph"/>
        <w:numPr>
          <w:ilvl w:val="0"/>
          <w:numId w:val="3"/>
        </w:numPr>
      </w:pPr>
      <w:r>
        <w:t xml:space="preserve">share it only with people on a need-to-know basis who have signed Part A or an NDA;</w:t>
      </w:r>
    </w:p>
    <w:p>
      <w:pPr>
        <w:pStyle w:val="ListParagraph"/>
        <w:numPr>
          <w:ilvl w:val="0"/>
          <w:numId w:val="3"/>
        </w:numPr>
      </w:pPr>
      <w:r>
        <w:t xml:space="preserve">not copy it beyond what the work needs;</w:t>
      </w:r>
    </w:p>
    <w:p>
      <w:pPr>
        <w:pStyle w:val="ListParagraph"/>
        <w:numPr>
          <w:ilvl w:val="0"/>
          <w:numId w:val="3"/>
        </w:numPr>
      </w:pPr>
      <w:r>
        <w:t xml:space="preserve">keep it in BOLTE-approved storage only: the BOLTE GitHub organisation and approved drives, with multi-factor authentication, encrypted devices and screen locks; never in personal cloud accounts, personal email or messaging groups outside BOLTE;</w:t>
      </w:r>
    </w:p>
    <w:p>
      <w:pPr>
        <w:pStyle w:val="ListParagraph"/>
        <w:numPr>
          <w:ilvl w:val="0"/>
          <w:numId w:val="3"/>
        </w:numPr>
      </w:pPr>
      <w:r>
        <w:t xml:space="preserve">not post it on social media, code-sharing sites, forums or competition portals except through the Disclosure Gate;</w:t>
      </w:r>
    </w:p>
    <w:p>
      <w:pPr>
        <w:pStyle w:val="ListParagraph"/>
        <w:numPr>
          <w:ilvl w:val="0"/>
          <w:numId w:val="3"/>
        </w:numPr>
      </w:pPr>
      <w:r>
        <w:rPr>
          <w:b/>
        </w:rPr>
        <w:t xml:space="preserve">not enter restricted or controlled information into any third-party AI tool</w:t>
      </w:r>
      <w:r>
        <w:t xml:space="preserve"> unless both Founders have approved that tool in writing;</w:t>
      </w:r>
    </w:p>
    <w:p>
      <w:pPr>
        <w:pStyle w:val="ListParagraph"/>
        <w:numPr>
          <w:ilvl w:val="0"/>
          <w:numId w:val="3"/>
        </w:numPr>
      </w:pPr>
      <w:r>
        <w:t xml:space="preserve">not reverse-engineer a shared prototype to get around IP terms; and</w:t>
      </w:r>
    </w:p>
    <w:p>
      <w:pPr>
        <w:pStyle w:val="ListParagraph"/>
        <w:numPr>
          <w:ilvl w:val="0"/>
          <w:numId w:val="3"/>
        </w:numPr>
      </w:pPr>
      <w:r>
        <w:t xml:space="preserve">not disclose anything in breach of export-control or official-secrets law.</w:t>
      </w:r>
    </w:p>
    <w:p>
      <w:pPr>
        <w:pStyle w:val="Heading2"/>
      </w:pPr>
      <w:r>
        <w:t xml:space="preserve">3. Handling tiers</w:t>
      </w:r>
    </w:p>
    <w:p>
      <w:pPr/>
      <w:r>
        <w:t xml:space="preserve">Schedule 2 sets four tiers (public, internal, restricted, controlled). The Recipient follows the handling rules for each tier and sees only what their role requires.</w:t>
      </w:r>
    </w:p>
    <w:p>
      <w:pPr>
        <w:pStyle w:val="Heading2"/>
      </w:pPr>
      <w:r>
        <w:t xml:space="preserve">4. Public material and competitions</w:t>
      </w:r>
    </w:p>
    <w:p>
      <w:pPr/>
      <w:r>
        <w:t xml:space="preserve">4.1 Public decks, videos, forms and papers are released only through the Disclosure Gate: both Founders confirm in writing that nothing restricted or controlled is included, that the IP position is checked and that any patent filing has been considered first.</w:t>
      </w:r>
    </w:p>
    <w:p>
      <w:pPr/>
      <w:r>
        <w:t xml:space="preserve">4.2 BOLTE may grant a competition organiser the limited licence its rules require (for example, to run, evaluate and promote an entry). Trade secrets and confidential annexes are kept out of anything uploaded or shown publicly.</w:t>
      </w:r>
    </w:p>
    <w:p>
      <w:pPr>
        <w:pStyle w:val="Heading2"/>
      </w:pPr>
      <w:r>
        <w:t xml:space="preserve">5. Permitted disclosure</w:t>
      </w:r>
    </w:p>
    <w:p>
      <w:pPr/>
      <w:r>
        <w:t xml:space="preserve">5.1 The Recipient may disclose Confidential Information to the Founders, to the Adviser, and to BOLTE’s lawyers and accountants who are bound by confidentiality.</w:t>
      </w:r>
    </w:p>
    <w:p>
      <w:pPr/>
      <w:r>
        <w:t xml:space="preserve">5.2 If a court or authority legally requires disclosure, the Recipient tells both Founders first where the law allows, discloses only what is required and helps BOLTE to protect the rest.</w:t>
      </w:r>
    </w:p>
    <w:p>
      <w:pPr/>
      <w:r>
        <w:t xml:space="preserve">5.3 Nothing in this Undertaking stops the Recipient from reporting a suspected crime or legal breach to a law-enforcement agency or regulator, or from making a protected disclosure under Nigerian law.</w:t>
      </w:r>
    </w:p>
    <w:p>
      <w:pPr>
        <w:pStyle w:val="Heading2"/>
      </w:pPr>
      <w:r>
        <w:t xml:space="preserve">6. Return and destruction</w:t>
      </w:r>
    </w:p>
    <w:p>
      <w:pPr/>
      <w:r>
        <w:t xml:space="preserve">On request, or when the Recipient leaves, they return or permanently delete all Confidential Information within 14 days and confirm this in writing. They may keep what the law requires them to keep, and backup copies that are deleted on their normal cycle, and those stay confidential.</w:t>
      </w:r>
    </w:p>
    <w:p>
      <w:pPr>
        <w:pStyle w:val="Heading2"/>
      </w:pPr>
      <w:r>
        <w:t xml:space="preserve">7. Incidents</w:t>
      </w:r>
    </w:p>
    <w:p>
      <w:pPr/>
      <w:r>
        <w:t xml:space="preserve">The Recipient tells both Founders within 24 hours of any actual or suspected loss, leak, unauthorised access or lost device, and helps contain it.</w:t>
      </w:r>
    </w:p>
    <w:p>
      <w:pPr>
        <w:pStyle w:val="Heading2"/>
      </w:pPr>
      <w:r>
        <w:t xml:space="preserve">8. Remedies</w:t>
      </w:r>
    </w:p>
    <w:p>
      <w:pPr/>
      <w:r>
        <w:t xml:space="preserve">The Recipient accepts that a breach may cause harm that money cannot repair. BOLTE may seek an injunction or other urgent relief as well as damages and an account of any profits made from the breach, in addition to the sanctions in the Member MOU or the Founders’ Agreement.</w:t>
      </w:r>
    </w:p>
    <w:p>
      <w:pPr>
        <w:pStyle w:val="Heading2"/>
      </w:pPr>
      <w:r>
        <w:t xml:space="preserve">9. How long it lasts</w:t>
      </w:r>
    </w:p>
    <w:p>
      <w:pPr/>
      <w:r>
        <w:t xml:space="preserve">The duties apply while the Recipient is connected with BOLTE and for </w:t>
      </w:r>
      <w:r>
        <w:rPr>
          <w:b/>
        </w:rPr>
        <w:t xml:space="preserve">3 years afterwards</w:t>
      </w:r>
      <w:r>
        <w:t xml:space="preserve">; for trade secrets for </w:t>
      </w:r>
      <w:r>
        <w:rPr>
          <w:b/>
        </w:rPr>
        <w:t xml:space="preserve">5 years or for as long as the information stays secret, whichever is longer</w:t>
      </w:r>
      <w:r>
        <w:t xml:space="preserve">; and for Controlled Information and personal data for as long as the provider or the law requires.</w:t>
      </w:r>
    </w:p>
    <w:p>
      <w:pPr>
        <w:pStyle w:val="Heading2"/>
      </w:pPr>
      <w:r>
        <w:t xml:space="preserve">10. No licence, no warranty</w:t>
      </w:r>
    </w:p>
    <w:p>
      <w:pPr/>
      <w:r>
        <w:t xml:space="preserve">This Undertaking gives the Recipient no right in BOLTE’s IP. Confidential Information is supplied as it is, without warranty.</w:t>
      </w:r>
    </w:p>
    <w:p>
      <w:pPr>
        <w:pStyle w:val="Heading2"/>
      </w:pPr>
      <w:r>
        <w:t xml:space="preserve">11. Personal data</w:t>
      </w:r>
    </w:p>
    <w:p>
      <w:pPr/>
      <w:r>
        <w:t xml:space="preserve">The Recipient will handle personal data they receive under the Nigerian Data Protection Act 2023 and BOLTE’s instructions.</w:t>
      </w:r>
    </w:p>
    <w:p>
      <w:pPr>
        <w:pStyle w:val="Heading2"/>
      </w:pPr>
      <w:r>
        <w:t xml:space="preserve">12. Law and disputes</w:t>
      </w:r>
    </w:p>
    <w:p>
      <w:pPr/>
      <w:r>
        <w:t xml:space="preserve">This Undertaking is governed by the laws of the Federal Republic of Nigeria. Disputes follow the ladder in the Member MOU or the Founders’ Agreement (direct talks, mediation, then arbitration under the Arbitration and Mediation Act 2023, sole arbitrator, seated in Lagos), and either side may go to court for urgent relief to protect Confidential Information.</w:t>
      </w:r>
    </w:p>
    <w:p>
      <w:pPr>
        <w:pStyle w:val="Heading2"/>
      </w:pPr>
      <w:r>
        <w:t xml:space="preserve">13. General</w:t>
      </w:r>
    </w:p>
    <w:p>
      <w:pPr/>
      <w:r>
        <w:t xml:space="preserve">This Undertaking is the whole agreement on its subject, may be assigned by BOLTE to the Company, is unaffected if one provision is found unenforceable, and may be signed in counterparts and electronically. The Recipient confirms they were told they could take independent legal advice and had at least 7 days to read it.</w:t>
      </w:r>
    </w:p>
    <w:p>
      <w:pPr/>
      <w:r>
        <w:rPr>
          <w:b/>
        </w:rPr>
        <w:t xml:space="preserve">Signed by the Recipient:</w:t>
      </w:r>
      <w:r>
        <w:t xml:space="preserve"> ____________ Printed name: ____________ Date: ________ Witness: name ____________ address ____________ signature ____________</w:t>
      </w:r>
    </w:p>
    <w:p>
      <w:pPr/>
      <w:r>
        <w:rPr>
          <w:b/>
        </w:rPr>
        <w:t xml:space="preserve">Accepted for BOLTE by the Founders as trustees:</w:t>
      </w:r>
      <w:r>
        <w:t xml:space="preserve"> ____________ (Garba) ____________ (Frances) Date: ________</w:t>
      </w:r>
    </w:p>
    <w:p>
      <w:pPr>
        <w:pStyle w:val="Heading3"/>
      </w:pPr>
      <w:r>
        <w:t xml:space="preserve">Schedule 1: Key confidential items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Examples</w:t>
            </w:r>
          </w:p>
        </w:tc>
      </w:tr>
      <w:tr>
        <w:tc>
          <w:tcPr>
            <w:tcW w:w="4680" w:type="dxa"/>
          </w:tcPr>
          <w:p>
            <w:pPr/>
            <w:r>
              <w:t xml:space="preserve">Flagship product</w:t>
            </w:r>
          </w:p>
        </w:tc>
        <w:tc>
          <w:tcPr>
            <w:tcW w:w="4680" w:type="dxa"/>
          </w:tcPr>
          <w:p>
            <w:pPr/>
            <w:r>
              <w:t xml:space="preserve">AeroPulse-NG source, decode and tracking logic, conflict-detection and intercept logic, replay data, deployment configurations</w:t>
            </w:r>
          </w:p>
        </w:tc>
      </w:tr>
      <w:tr>
        <w:tc>
          <w:tcPr>
            <w:tcW w:w="4680" w:type="dxa"/>
          </w:tcPr>
          <w:p>
            <w:pPr/>
            <w:r>
              <w:t xml:space="preserve">Pipeline products</w:t>
            </w:r>
          </w:p>
        </w:tc>
        <w:tc>
          <w:tcPr>
            <w:tcW w:w="4680" w:type="dxa"/>
          </w:tcPr>
          <w:p>
            <w:pPr/>
            <w:r>
              <w:t xml:space="preserve">ASOL, DAFV, C4ISR-DFE and TBR-HS specifications and databases</w:t>
            </w:r>
          </w:p>
        </w:tc>
      </w:tr>
      <w:tr>
        <w:tc>
          <w:tcPr>
            <w:tcW w:w="4680" w:type="dxa"/>
          </w:tcPr>
          <w:p>
            <w:pPr/>
            <w:r>
              <w:t xml:space="preserve">HFP-X</w:t>
            </w:r>
          </w:p>
        </w:tc>
        <w:tc>
          <w:tcPr>
            <w:tcW w:w="4680" w:type="dxa"/>
          </w:tcPr>
          <w:p>
            <w:pPr/>
            <w:r>
              <w:t xml:space="preserve">Programme volumes, requirements, safety case drafts, drawings DWG-001 to DWG-009</w:t>
            </w:r>
          </w:p>
        </w:tc>
      </w:tr>
      <w:tr>
        <w:tc>
          <w:tcPr>
            <w:tcW w:w="4680" w:type="dxa"/>
          </w:tcPr>
          <w:p>
            <w:pPr/>
            <w:r>
              <w:t xml:space="preserve">Commercial</w:t>
            </w:r>
          </w:p>
        </w:tc>
        <w:tc>
          <w:tcPr>
            <w:tcW w:w="4680" w:type="dxa"/>
          </w:tcPr>
          <w:p>
            <w:pPr/>
            <w:r>
              <w:t xml:space="preserve">Cap table, ledgers, pricing, investor and partner discussions, pilot terms</w:t>
            </w:r>
          </w:p>
        </w:tc>
      </w:tr>
      <w:tr>
        <w:tc>
          <w:tcPr>
            <w:tcW w:w="4680" w:type="dxa"/>
          </w:tcPr>
          <w:p>
            <w:pPr/>
            <w:r>
              <w:t xml:space="preserve">People</w:t>
            </w:r>
          </w:p>
        </w:tc>
        <w:tc>
          <w:tcPr>
            <w:tcW w:w="4680" w:type="dxa"/>
          </w:tcPr>
          <w:p>
            <w:pPr/>
            <w:r>
              <w:t xml:space="preserve">Identity numbers, addresses, emergency contacts, questionnaires</w:t>
            </w:r>
          </w:p>
        </w:tc>
      </w:tr>
      <w:tr>
        <w:tc>
          <w:tcPr>
            <w:tcW w:w="4680" w:type="dxa"/>
          </w:tcPr>
          <w:p>
            <w:pPr/>
            <w:r>
              <w:t xml:space="preserve">Competition</w:t>
            </w:r>
          </w:p>
        </w:tc>
        <w:tc>
          <w:tcPr>
            <w:tcW w:w="4680" w:type="dxa"/>
          </w:tcPr>
          <w:p>
            <w:pPr/>
            <w:r>
              <w:t xml:space="preserve">Unpublished decks, videos, summaries and scoring</w:t>
            </w:r>
          </w:p>
        </w:tc>
      </w:tr>
    </w:tbl>
    <w:p>
      <w:pPr>
        <w:pStyle w:val="Heading3"/>
      </w:pPr>
      <w:r>
        <w:t xml:space="preserve">Schedule 2: Handling tiers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Tier</w:t>
            </w:r>
          </w:p>
        </w:tc>
        <w:tc>
          <w:tcPr>
            <w:tcW w:w="2340" w:type="dxa"/>
            <w:shd w:val="clear" w:color="auto" w:fill="F2F2F2"/>
          </w:tcPr>
          <w:p>
            <w:pPr/>
            <w:r>
              <w:t xml:space="preserve">What</w:t>
            </w:r>
          </w:p>
        </w:tc>
        <w:tc>
          <w:tcPr>
            <w:tcW w:w="2340" w:type="dxa"/>
            <w:shd w:val="clear" w:color="auto" w:fill="F2F2F2"/>
          </w:tcPr>
          <w:p>
            <w:pPr/>
            <w:r>
              <w:t xml:space="preserve">Who</w:t>
            </w:r>
          </w:p>
        </w:tc>
        <w:tc>
          <w:tcPr>
            <w:tcW w:w="2340" w:type="dxa"/>
            <w:shd w:val="clear" w:color="auto" w:fill="F2F2F2"/>
          </w:tcPr>
          <w:p>
            <w:pPr/>
            <w:r>
              <w:t xml:space="preserve">Storage and sharing</w:t>
            </w:r>
          </w:p>
        </w:tc>
      </w:tr>
      <w:tr>
        <w:tc>
          <w:tcPr>
            <w:tcW w:w="2340" w:type="dxa"/>
          </w:tcPr>
          <w:p>
            <w:pPr/>
            <w:r>
              <w:t xml:space="preserve">T0 Public</w:t>
            </w:r>
          </w:p>
        </w:tc>
        <w:tc>
          <w:tcPr>
            <w:tcW w:w="2340" w:type="dxa"/>
          </w:tcPr>
          <w:p>
            <w:pPr/>
            <w:r>
              <w:t xml:space="preserve">Released through the Disclosure Gate</w:t>
            </w:r>
          </w:p>
        </w:tc>
        <w:tc>
          <w:tcPr>
            <w:tcW w:w="2340" w:type="dxa"/>
          </w:tcPr>
          <w:p>
            <w:pPr/>
            <w:r>
              <w:t xml:space="preserve">Anyone</w:t>
            </w:r>
          </w:p>
        </w:tc>
        <w:tc>
          <w:tcPr>
            <w:tcW w:w="2340" w:type="dxa"/>
          </w:tcPr>
          <w:p>
            <w:pPr/>
            <w:r>
              <w:t xml:space="preserve">Any channel</w:t>
            </w:r>
          </w:p>
        </w:tc>
      </w:tr>
      <w:tr>
        <w:tc>
          <w:tcPr>
            <w:tcW w:w="2340" w:type="dxa"/>
          </w:tcPr>
          <w:p>
            <w:pPr/>
            <w:r>
              <w:t xml:space="preserve">T1 Internal</w:t>
            </w:r>
          </w:p>
        </w:tc>
        <w:tc>
          <w:tcPr>
            <w:tcW w:w="2340" w:type="dxa"/>
          </w:tcPr>
          <w:p>
            <w:pPr/>
            <w:r>
              <w:t xml:space="preserve">Non-sensitive source, plans, ledgers</w:t>
            </w:r>
          </w:p>
        </w:tc>
        <w:tc>
          <w:tcPr>
            <w:tcW w:w="2340" w:type="dxa"/>
          </w:tcPr>
          <w:p>
            <w:pPr/>
            <w:r>
              <w:t xml:space="preserve">Signed members</w:t>
            </w:r>
          </w:p>
        </w:tc>
        <w:tc>
          <w:tcPr>
            <w:tcW w:w="2340" w:type="dxa"/>
          </w:tcPr>
          <w:p>
            <w:pPr/>
            <w:r>
              <w:t xml:space="preserve">BOLTE organisation and drives only</w:t>
            </w:r>
          </w:p>
        </w:tc>
      </w:tr>
      <w:tr>
        <w:tc>
          <w:tcPr>
            <w:tcW w:w="2340" w:type="dxa"/>
          </w:tcPr>
          <w:p>
            <w:pPr/>
            <w:r>
              <w:t xml:space="preserve">T2 Restricted</w:t>
            </w:r>
          </w:p>
        </w:tc>
        <w:tc>
          <w:tcPr>
            <w:tcW w:w="2340" w:type="dxa"/>
          </w:tcPr>
          <w:p>
            <w:pPr/>
            <w:r>
              <w:t xml:space="preserve">Intercept and threat logic, libraries, deployment configs, wiring and HFP-X design detail</w:t>
            </w:r>
          </w:p>
        </w:tc>
        <w:tc>
          <w:tcPr>
            <w:tcW w:w="2340" w:type="dxa"/>
          </w:tcPr>
          <w:p>
            <w:pPr/>
            <w:r>
              <w:t xml:space="preserve">Named list kept by the Founders</w:t>
            </w:r>
          </w:p>
        </w:tc>
        <w:tc>
          <w:tcPr>
            <w:tcW w:w="2340" w:type="dxa"/>
          </w:tcPr>
          <w:p>
            <w:pPr/>
            <w:r>
              <w:t xml:space="preserve">Private repo with named access; no forwarding; no third-party AI tools</w:t>
            </w:r>
          </w:p>
        </w:tc>
      </w:tr>
      <w:tr>
        <w:tc>
          <w:tcPr>
            <w:tcW w:w="2340" w:type="dxa"/>
          </w:tcPr>
          <w:p>
            <w:pPr/>
            <w:r>
              <w:t xml:space="preserve">T3 Controlled</w:t>
            </w:r>
          </w:p>
        </w:tc>
        <w:tc>
          <w:tcPr>
            <w:tcW w:w="2340" w:type="dxa"/>
          </w:tcPr>
          <w:p>
            <w:pPr/>
            <w:r>
              <w:t xml:space="preserve">Material received from a government, military or partner under restriction</w:t>
            </w:r>
          </w:p>
        </w:tc>
        <w:tc>
          <w:tcPr>
            <w:tcW w:w="2340" w:type="dxa"/>
          </w:tcPr>
          <w:p>
            <w:pPr/>
            <w:r>
              <w:t xml:space="preserve">Named individuals</w:t>
            </w:r>
          </w:p>
        </w:tc>
        <w:tc>
          <w:tcPr>
            <w:tcW w:w="2340" w:type="dxa"/>
          </w:tcPr>
          <w:p>
            <w:pPr/>
            <w:r>
              <w:t xml:space="preserve">Separate storage; no copies; provider’s rules apply</w:t>
            </w:r>
          </w:p>
        </w:tc>
      </w:tr>
    </w:tbl>
    <w:p>
      <w:pPr>
        <w:pStyle w:val="Heading3"/>
      </w:pPr>
      <w:r>
        <w:t xml:space="preserve">Schedule 3: Permitted disclosees (keep current)</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Name</w:t>
            </w:r>
          </w:p>
        </w:tc>
        <w:tc>
          <w:tcPr>
            <w:tcW w:w="1872" w:type="dxa"/>
            <w:shd w:val="clear" w:color="auto" w:fill="F2F2F2"/>
          </w:tcPr>
          <w:p>
            <w:pPr/>
            <w:r>
              <w:t xml:space="preserve">Role</w:t>
            </w:r>
          </w:p>
        </w:tc>
        <w:tc>
          <w:tcPr>
            <w:tcW w:w="1872" w:type="dxa"/>
            <w:shd w:val="clear" w:color="auto" w:fill="F2F2F2"/>
          </w:tcPr>
          <w:p>
            <w:pPr/>
            <w:r>
              <w:t xml:space="preserve">Tier(s)</w:t>
            </w:r>
          </w:p>
        </w:tc>
        <w:tc>
          <w:tcPr>
            <w:tcW w:w="1872" w:type="dxa"/>
            <w:shd w:val="clear" w:color="auto" w:fill="F2F2F2"/>
          </w:tcPr>
          <w:p>
            <w:pPr/>
            <w:r>
              <w:t xml:space="preserve">Date added</w:t>
            </w:r>
          </w:p>
        </w:tc>
        <w:tc>
          <w:tcPr>
            <w:tcW w:w="1872" w:type="dxa"/>
            <w:shd w:val="clear" w:color="auto" w:fill="F2F2F2"/>
          </w:tcPr>
          <w:p>
            <w:pPr/>
            <w:r>
              <w:t xml:space="preserve">NDA signed</w:t>
            </w:r>
          </w:p>
        </w:tc>
      </w:tr>
      <w:tr>
        <w:tc>
          <w:tcPr>
            <w:tcW w:w="1872" w:type="dxa"/>
          </w:tcPr>
          <w:p>
            <w:pPr/>
          </w:p>
        </w:tc>
        <w:tc>
          <w:tcPr>
            <w:tcW w:w="1872" w:type="dxa"/>
          </w:tcPr>
          <w:p>
            <w:pPr/>
          </w:p>
        </w:tc>
        <w:tc>
          <w:tcPr>
            <w:tcW w:w="1872" w:type="dxa"/>
          </w:tcPr>
          <w:p>
            <w:pPr/>
          </w:p>
        </w:tc>
        <w:tc>
          <w:tcPr>
            <w:tcW w:w="1872" w:type="dxa"/>
          </w:tcPr>
          <w:p>
            <w:pPr/>
          </w:p>
        </w:tc>
        <w:tc>
          <w:tcPr>
            <w:tcW w:w="1872" w:type="dxa"/>
          </w:tcPr>
          <w:p>
            <w:pPr/>
          </w:p>
        </w:tc>
      </w:tr>
    </w:tbl>
    <w:p>
      <w:pPr>
        <w:pStyle w:val="Heading1"/>
      </w:pPr>
      <w:r>
        <w:t xml:space="preserve">PART B: MUTUAL NON-DISCLOSURE AGREEMENT (external parties)</w:t>
      </w:r>
    </w:p>
    <w:p>
      <w:pPr/>
      <w:r>
        <w:t xml:space="preserve">This Agreement is made on [date] between </w:t>
      </w:r>
      <w:r>
        <w:rPr>
          <w:b/>
        </w:rPr>
        <w:t xml:space="preserve">[BOLTE [Technologies] Limited / the BOLTE Collective acting through its Founders]</w:t>
      </w:r>
      <w:r>
        <w:t xml:space="preserve"> (</w:t>
      </w:r>
      <w:r>
        <w:rPr>
          <w:b/>
        </w:rPr>
        <w:t xml:space="preserve">BOLTE</w:t>
      </w:r>
      <w:r>
        <w:t xml:space="preserve">) and </w:t>
      </w:r>
      <w:r>
        <w:rPr>
          <w:b/>
        </w:rPr>
        <w:t xml:space="preserve">[counterparty name, address, registration number]</w:t>
      </w:r>
      <w:r>
        <w:t xml:space="preserve"> (the </w:t>
      </w:r>
      <w:r>
        <w:rPr>
          <w:b/>
        </w:rPr>
        <w:t xml:space="preserve">Counterparty</w:t>
      </w:r>
      <w:r>
        <w:t xml:space="preserve">).</w:t>
      </w:r>
    </w:p>
    <w:p>
      <w:pPr>
        <w:pStyle w:val="Heading2"/>
      </w:pPr>
      <w:r>
        <w:t xml:space="preserve">1. Purpose</w:t>
      </w:r>
    </w:p>
    <w:p>
      <w:pPr/>
      <w:r>
        <w:t xml:space="preserve">The parties wish to discuss [describe, for example a pilot, investment, partnership, supply or research collaboration] (the </w:t>
      </w:r>
      <w:r>
        <w:rPr>
          <w:b/>
        </w:rPr>
        <w:t xml:space="preserve">Purpose</w:t>
      </w:r>
      <w:r>
        <w:t xml:space="preserve">) and may exchange confidential information for that Purpose only.</w:t>
      </w:r>
    </w:p>
    <w:p>
      <w:pPr>
        <w:pStyle w:val="Heading2"/>
      </w:pPr>
      <w:r>
        <w:t xml:space="preserve">2. Confidential Information</w:t>
      </w:r>
    </w:p>
    <w:p>
      <w:pPr/>
      <w:r>
        <w:t xml:space="preserve">Each party’s </w:t>
      </w:r>
      <w:r>
        <w:rPr>
          <w:b/>
        </w:rPr>
        <w:t xml:space="preserve">Confidential Information</w:t>
      </w:r>
      <w:r>
        <w:t xml:space="preserve"> is all non-public technical, commercial, financial and personal-data information it discloses for the Purpose, in any form, that is marked confidential or that a reasonable person would see as confidential. The exclusions in Part A clause 1.3 apply equally to both parties.</w:t>
      </w:r>
    </w:p>
    <w:p>
      <w:pPr>
        <w:pStyle w:val="Heading2"/>
      </w:pPr>
      <w:r>
        <w:t xml:space="preserve">3. Each party’s duties</w:t>
      </w:r>
    </w:p>
    <w:p>
      <w:pPr/>
      <w:r>
        <w:t xml:space="preserve">Each party, as recipient, will: use the other’s Confidential Information only for the Purpose; not disclose it except to its own staff, advisers and, for BOLTE, its members, who need it and are bound by confidentiality; protect it with at least reasonable care; copy it only as needed; and tell the other within 24 hours of any loss or unauthorised disclosure.</w:t>
      </w:r>
    </w:p>
    <w:p>
      <w:pPr>
        <w:pStyle w:val="Heading2"/>
      </w:pPr>
      <w:r>
        <w:t xml:space="preserve">4. No source code or restricted material</w:t>
      </w:r>
    </w:p>
    <w:p>
      <w:pPr/>
      <w:r>
        <w:t xml:space="preserve">Nothing in this Agreement requires BOLTE to disclose source code, intercept or threat logic, deployment configurations or other restricted material. Disclosure of those needs a separate written agreement approved by both of BOLTE’s Founders.</w:t>
      </w:r>
    </w:p>
    <w:p>
      <w:pPr>
        <w:pStyle w:val="Heading2"/>
      </w:pPr>
      <w:r>
        <w:t xml:space="preserve">5. Defence and government information</w:t>
      </w:r>
    </w:p>
    <w:p>
      <w:pPr/>
      <w:r>
        <w:t xml:space="preserve">5.1 Neither party will give the other any classified or officially restricted information unless it has the legal authority to do so and has told the other in writing which handling rules apply.</w:t>
      </w:r>
    </w:p>
    <w:p>
      <w:pPr/>
      <w:r>
        <w:t xml:space="preserve">5.2 Each party will comply with Nigerian law on official secrets, export controls and data protection, including the Nigerian Data Protection Act 2023.</w:t>
      </w:r>
    </w:p>
    <w:p>
      <w:pPr/>
      <w:r>
        <w:t xml:space="preserve">5.3 Neither party will use the other’s Confidential Information to develop a competing product or to obtain or support a patent or other IP claim.</w:t>
      </w:r>
    </w:p>
    <w:p>
      <w:pPr>
        <w:pStyle w:val="Heading2"/>
      </w:pPr>
      <w:r>
        <w:t xml:space="preserve">6. Required disclosure</w:t>
      </w:r>
    </w:p>
    <w:p>
      <w:pPr/>
      <w:r>
        <w:t xml:space="preserve">A party legally required to disclose will give the other prompt notice where lawful, disclose only what is required and help the other seek protection.</w:t>
      </w:r>
    </w:p>
    <w:p>
      <w:pPr>
        <w:pStyle w:val="Heading2"/>
      </w:pPr>
      <w:r>
        <w:t xml:space="preserve">7. Return and destruction</w:t>
      </w:r>
    </w:p>
    <w:p>
      <w:pPr/>
      <w:r>
        <w:t xml:space="preserve">On request, or when talks end, each party returns or deletes the other’s Confidential Information within 14 days and confirms in writing, subject to legal retention and routine backups.</w:t>
      </w:r>
    </w:p>
    <w:p>
      <w:pPr>
        <w:pStyle w:val="Heading2"/>
      </w:pPr>
      <w:r>
        <w:t xml:space="preserve">8. Term</w:t>
      </w:r>
    </w:p>
    <w:p>
      <w:pPr/>
      <w:r>
        <w:t xml:space="preserve">This Agreement covers disclosures for [12] months from the date above. The duties of confidence continue for </w:t>
      </w:r>
      <w:r>
        <w:rPr>
          <w:b/>
        </w:rPr>
        <w:t xml:space="preserve">3 years</w:t>
      </w:r>
      <w:r>
        <w:t xml:space="preserve"> from each disclosure and for </w:t>
      </w:r>
      <w:r>
        <w:rPr>
          <w:b/>
        </w:rPr>
        <w:t xml:space="preserve">5 years or for as long as it stays secret</w:t>
      </w:r>
      <w:r>
        <w:t xml:space="preserve"> for trade secrets.</w:t>
      </w:r>
    </w:p>
    <w:p>
      <w:pPr>
        <w:pStyle w:val="Heading2"/>
      </w:pPr>
      <w:r>
        <w:t xml:space="preserve">9. No licence, no obligation</w:t>
      </w:r>
    </w:p>
    <w:p>
      <w:pPr/>
      <w:r>
        <w:t xml:space="preserve">No licence or ownership passes. Neither party must disclose anything, proceed with the Purpose or enter any further agreement. Information is supplied without warranty.</w:t>
      </w:r>
    </w:p>
    <w:p>
      <w:pPr>
        <w:pStyle w:val="Heading2"/>
      </w:pPr>
      <w:r>
        <w:t xml:space="preserve">10. Remedies</w:t>
      </w:r>
    </w:p>
    <w:p>
      <w:pPr/>
      <w:r>
        <w:t xml:space="preserve">Breach may cause harm that money cannot repair. The affected party may seek an injunction or other urgent relief as well as damages.</w:t>
      </w:r>
    </w:p>
    <w:p>
      <w:pPr>
        <w:pStyle w:val="Heading2"/>
      </w:pPr>
      <w:r>
        <w:t xml:space="preserve">11. Law and disputes</w:t>
      </w:r>
    </w:p>
    <w:p>
      <w:pPr/>
      <w:r>
        <w:t xml:space="preserve">This Agreement is governed by the laws of the Federal Republic of Nigeria. The parties will try mediation first. A dispute not resolved within 30 days goes to arbitration under the Arbitration and Mediation Act 2023 before a sole arbitrator, seated in Lagos, in English. Either party may apply to a court for urgent relief.</w:t>
      </w:r>
    </w:p>
    <w:p>
      <w:pPr>
        <w:pStyle w:val="Heading2"/>
      </w:pPr>
      <w:r>
        <w:t xml:space="preserve">12. General</w:t>
      </w:r>
    </w:p>
    <w:p>
      <w:pPr/>
      <w:r>
        <w:t xml:space="preserve">This is the whole agreement on its subject. Changes need a signed writing. It may be signed in counterparts and electronically. Neither party may assign it without consent, except that BOLTE may assign it to its successor company.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p>
        </w:tc>
        <w:tc>
          <w:tcPr>
            <w:tcW w:w="3120" w:type="dxa"/>
            <w:shd w:val="clear" w:color="auto" w:fill="F2F2F2"/>
          </w:tcPr>
          <w:p>
            <w:pPr/>
            <w:r>
              <w:t xml:space="preserve">For BOLTE</w:t>
            </w:r>
          </w:p>
        </w:tc>
        <w:tc>
          <w:tcPr>
            <w:tcW w:w="3120" w:type="dxa"/>
            <w:shd w:val="clear" w:color="auto" w:fill="F2F2F2"/>
          </w:tcPr>
          <w:p>
            <w:pPr/>
            <w:r>
              <w:t xml:space="preserve">For the Counterparty</w:t>
            </w:r>
          </w:p>
        </w:tc>
      </w:tr>
      <w:tr>
        <w:tc>
          <w:tcPr>
            <w:tcW w:w="3120" w:type="dxa"/>
          </w:tcPr>
          <w:p>
            <w:pPr/>
            <w:r>
              <w:t xml:space="preserve">Name</w:t>
            </w:r>
          </w:p>
        </w:tc>
        <w:tc>
          <w:tcPr>
            <w:tcW w:w="3120" w:type="dxa"/>
          </w:tcPr>
          <w:p>
            <w:pPr/>
          </w:p>
        </w:tc>
        <w:tc>
          <w:tcPr>
            <w:tcW w:w="3120" w:type="dxa"/>
          </w:tcPr>
          <w:p>
            <w:pPr/>
          </w:p>
        </w:tc>
      </w:tr>
      <w:tr>
        <w:tc>
          <w:tcPr>
            <w:tcW w:w="3120" w:type="dxa"/>
          </w:tcPr>
          <w:p>
            <w:pPr/>
            <w:r>
              <w:t xml:space="preserve">Title</w:t>
            </w:r>
          </w:p>
        </w:tc>
        <w:tc>
          <w:tcPr>
            <w:tcW w:w="3120" w:type="dxa"/>
          </w:tcPr>
          <w:p>
            <w:pPr/>
          </w:p>
        </w:tc>
        <w:tc>
          <w:tcPr>
            <w:tcW w:w="3120" w:type="dxa"/>
          </w:tcPr>
          <w:p>
            <w:pPr/>
          </w:p>
        </w:tc>
      </w:tr>
      <w:tr>
        <w:tc>
          <w:tcPr>
            <w:tcW w:w="3120" w:type="dxa"/>
          </w:tcPr>
          <w:p>
            <w:pPr/>
            <w:r>
              <w:t xml:space="preserve">Signature</w:t>
            </w:r>
          </w:p>
        </w:tc>
        <w:tc>
          <w:tcPr>
            <w:tcW w:w="3120" w:type="dxa"/>
          </w:tcPr>
          <w:p>
            <w:pPr/>
          </w:p>
        </w:tc>
        <w:tc>
          <w:tcPr>
            <w:tcW w:w="3120" w:type="dxa"/>
          </w:tcPr>
          <w:p>
            <w:pPr/>
          </w:p>
        </w:tc>
      </w:tr>
      <w:tr>
        <w:tc>
          <w:tcPr>
            <w:tcW w:w="3120" w:type="dxa"/>
          </w:tcPr>
          <w:p>
            <w:pPr/>
            <w:r>
              <w:t xml:space="preserve">Date</w:t>
            </w:r>
          </w:p>
        </w:tc>
        <w:tc>
          <w:tcPr>
            <w:tcW w:w="3120" w:type="dxa"/>
          </w:tcPr>
          <w:p>
            <w:pPr/>
          </w:p>
        </w:tc>
        <w:tc>
          <w:tcPr>
            <w:tcW w:w="3120" w:type="dxa"/>
          </w:tcPr>
          <w:p>
            <w:pPr/>
          </w:p>
        </w:tc>
      </w:tr>
      <w:tr>
        <w:tc>
          <w:tcPr>
            <w:tcW w:w="3120" w:type="dxa"/>
          </w:tcPr>
          <w:p>
            <w:pPr/>
            <w:r>
              <w:t xml:space="preserve">Witness</w:t>
            </w:r>
          </w:p>
        </w:tc>
        <w:tc>
          <w:tcPr>
            <w:tcW w:w="3120" w:type="dxa"/>
          </w:tcPr>
          <w:p>
            <w:pPr/>
          </w:p>
        </w:tc>
        <w:tc>
          <w:tcPr>
            <w:tcW w:w="3120" w:type="dxa"/>
          </w:tcPr>
          <w:p>
            <w:pP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Confidentiality Undertaking &amp; NDA — BOLTE (Draft v1.0)</dc:title>
  <dc:description>Claude Docs node/aa85100d-ad2e@1 docx-w6</dc:description>
  <cp:revision>1</cp:revision>
</cp:coreProperties>
</file>