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Business &amp; Financial Adviser Agreement — BOLTE (Draft v1.0)</w:t>
      </w:r>
    </w:p>
    <w:p>
      <w:pPr/>
      <w:r>
        <w:t xml:space="preserve">Oct 2, 2026</w:t>
      </w:r>
      <w:r>
        <w:t xml:space="preserve"> · </w:t>
      </w:r>
      <w:r>
        <w:t xml:space="preserve">@Garba Abdullahi Baba</w:t>
      </w:r>
    </w:p>
    <w:p>
      <w:pPr/>
      <w:r>
        <w:rPr>
          <w:i/>
        </w:rPr>
        <w:t xml:space="preserve">Agreement between BOLTE and its Business &amp; Financial Adviser (Seat E). It gives the Adviser a defined role, 1% vesting equity and no authority to bind or outvote anyone. Draft for review by Nigerian counsel. Not legal advice.</w:t>
      </w:r>
    </w:p>
    <w:p>
      <w:pPr>
        <w:pStyle w:val="Heading2"/>
      </w:pPr>
      <w:r>
        <w:t xml:space="preserve">Key terms at a glance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What it says</w:t>
            </w:r>
          </w:p>
        </w:tc>
        <w:tc>
          <w:tcPr>
            <w:tcW w:w="3120" w:type="dxa"/>
            <w:shd w:val="clear" w:color="auto" w:fill="F2F2F2"/>
          </w:tcPr>
          <w:p>
            <w:pPr/>
            <w:r>
              <w:t xml:space="preserve">Clause</w:t>
            </w:r>
          </w:p>
        </w:tc>
      </w:tr>
      <w:tr>
        <w:tc>
          <w:tcPr>
            <w:tcW w:w="3120" w:type="dxa"/>
          </w:tcPr>
          <w:p>
            <w:pPr/>
            <w:r>
              <w:t xml:space="preserve">Role</w:t>
            </w:r>
          </w:p>
        </w:tc>
        <w:tc>
          <w:tcPr>
            <w:tcW w:w="3120" w:type="dxa"/>
          </w:tcPr>
          <w:p>
            <w:pPr/>
            <w:r>
              <w:t xml:space="preserve">Advises on strategy, finance, fundraising and commercial terms; gives the deadlock opinion; first contact for concerns about a Founder</w:t>
            </w:r>
          </w:p>
        </w:tc>
        <w:tc>
          <w:tcPr>
            <w:tcW w:w="3120" w:type="dxa"/>
          </w:tcPr>
          <w:p>
            <w:pPr/>
            <w:r>
              <w:t xml:space="preserve">2</w:t>
            </w:r>
          </w:p>
        </w:tc>
      </w:tr>
      <w:tr>
        <w:tc>
          <w:tcPr>
            <w:tcW w:w="3120" w:type="dxa"/>
          </w:tcPr>
          <w:p>
            <w:pPr/>
            <w:r>
              <w:t xml:space="preserve">Authority</w:t>
            </w:r>
          </w:p>
        </w:tc>
        <w:tc>
          <w:tcPr>
            <w:tcW w:w="3120" w:type="dxa"/>
          </w:tcPr>
          <w:p>
            <w:pPr/>
            <w:r>
              <w:t xml:space="preserve">None. Cannot sign, spend, hire, promise equity or speak for BOLTE</w:t>
            </w:r>
          </w:p>
        </w:tc>
        <w:tc>
          <w:tcPr>
            <w:tcW w:w="3120" w:type="dxa"/>
          </w:tcPr>
          <w:p>
            <w:pPr/>
            <w:r>
              <w:t xml:space="preserve">3</w:t>
            </w:r>
          </w:p>
        </w:tc>
      </w:tr>
      <w:tr>
        <w:tc>
          <w:tcPr>
            <w:tcW w:w="3120" w:type="dxa"/>
          </w:tcPr>
          <w:p>
            <w:pPr/>
            <w:r>
              <w:t xml:space="preserve">Time</w:t>
            </w:r>
          </w:p>
        </w:tc>
        <w:tc>
          <w:tcPr>
            <w:tcW w:w="3120" w:type="dxa"/>
          </w:tcPr>
          <w:p>
            <w:pPr/>
            <w:r>
              <w:t xml:space="preserve">At least [4] hours a week on average, plus the monthly finance review and quarterly strategy review</w:t>
            </w:r>
          </w:p>
        </w:tc>
        <w:tc>
          <w:tcPr>
            <w:tcW w:w="3120" w:type="dxa"/>
          </w:tcPr>
          <w:p>
            <w:pPr/>
            <w:r>
              <w:t xml:space="preserve">4</w:t>
            </w:r>
          </w:p>
        </w:tc>
      </w:tr>
      <w:tr>
        <w:tc>
          <w:tcPr>
            <w:tcW w:w="3120" w:type="dxa"/>
          </w:tcPr>
          <w:p>
            <w:pPr/>
            <w:r>
              <w:t xml:space="preserve">Equity</w:t>
            </w:r>
          </w:p>
        </w:tc>
        <w:tc>
          <w:tcPr>
            <w:tcW w:w="3120" w:type="dxa"/>
          </w:tcPr>
          <w:p>
            <w:pPr/>
            <w:r>
              <w:t xml:space="preserve">1.0% fully diluted; 24 months; 3-month cliff; monthly after</w:t>
            </w:r>
          </w:p>
        </w:tc>
        <w:tc>
          <w:tcPr>
            <w:tcW w:w="3120" w:type="dxa"/>
          </w:tcPr>
          <w:p>
            <w:pPr/>
            <w:r>
              <w:t xml:space="preserve">5</w:t>
            </w:r>
          </w:p>
        </w:tc>
      </w:tr>
      <w:tr>
        <w:tc>
          <w:tcPr>
            <w:tcW w:w="3120" w:type="dxa"/>
          </w:tcPr>
          <w:p>
            <w:pPr/>
            <w:r>
              <w:t xml:space="preserve">Vote</w:t>
            </w:r>
          </w:p>
        </w:tc>
        <w:tc>
          <w:tcPr>
            <w:tcW w:w="3120" w:type="dxa"/>
          </w:tcPr>
          <w:p>
            <w:pPr/>
            <w:r>
              <w:t xml:space="preserve">None on Reserved Matters; counsel to structure through non-voting shares or a voting undertaking</w:t>
            </w:r>
          </w:p>
        </w:tc>
        <w:tc>
          <w:tcPr>
            <w:tcW w:w="3120" w:type="dxa"/>
          </w:tcPr>
          <w:p>
            <w:pPr/>
            <w:r>
              <w:t xml:space="preserve">5.5</w:t>
            </w:r>
          </w:p>
        </w:tc>
      </w:tr>
      <w:tr>
        <w:tc>
          <w:tcPr>
            <w:tcW w:w="3120" w:type="dxa"/>
          </w:tcPr>
          <w:p>
            <w:pPr/>
            <w:r>
              <w:t xml:space="preserve">Cash</w:t>
            </w:r>
          </w:p>
        </w:tc>
        <w:tc>
          <w:tcPr>
            <w:tcW w:w="3120" w:type="dxa"/>
          </w:tcPr>
          <w:p>
            <w:pPr/>
            <w:r>
              <w:t xml:space="preserve">None until funding; reasonable pre-approved expenses are reimbursed</w:t>
            </w:r>
          </w:p>
        </w:tc>
        <w:tc>
          <w:tcPr>
            <w:tcW w:w="3120" w:type="dxa"/>
          </w:tcPr>
          <w:p>
            <w:pPr/>
            <w:r>
              <w:t xml:space="preserve">6</w:t>
            </w:r>
          </w:p>
        </w:tc>
      </w:tr>
      <w:tr>
        <w:tc>
          <w:tcPr>
            <w:tcW w:w="3120" w:type="dxa"/>
          </w:tcPr>
          <w:p>
            <w:pPr/>
            <w:r>
              <w:t xml:space="preserve">Independence</w:t>
            </w:r>
          </w:p>
        </w:tc>
        <w:tc>
          <w:tcPr>
            <w:tcW w:w="3120" w:type="dxa"/>
          </w:tcPr>
          <w:p>
            <w:pPr/>
            <w:r>
              <w:t xml:space="preserve">Declares conflicts; no deal-based fees from investors or counterparties</w:t>
            </w:r>
          </w:p>
        </w:tc>
        <w:tc>
          <w:tcPr>
            <w:tcW w:w="3120" w:type="dxa"/>
          </w:tcPr>
          <w:p>
            <w:pPr/>
            <w:r>
              <w:t xml:space="preserve">7</w:t>
            </w:r>
          </w:p>
        </w:tc>
      </w:tr>
      <w:tr>
        <w:tc>
          <w:tcPr>
            <w:tcW w:w="3120" w:type="dxa"/>
          </w:tcPr>
          <w:p>
            <w:pPr/>
            <w:r>
              <w:t xml:space="preserve">IP and secrets</w:t>
            </w:r>
          </w:p>
        </w:tc>
        <w:tc>
          <w:tcPr>
            <w:tcW w:w="3120" w:type="dxa"/>
          </w:tcPr>
          <w:p>
            <w:pPr/>
            <w:r>
              <w:t xml:space="preserve">Contributor IP Assignment and Part A Undertaking apply</w:t>
            </w:r>
          </w:p>
        </w:tc>
        <w:tc>
          <w:tcPr>
            <w:tcW w:w="3120" w:type="dxa"/>
          </w:tcPr>
          <w:p>
            <w:pPr/>
            <w:r>
              <w:t xml:space="preserve">8, 9</w:t>
            </w:r>
          </w:p>
        </w:tc>
      </w:tr>
      <w:tr>
        <w:tc>
          <w:tcPr>
            <w:tcW w:w="3120" w:type="dxa"/>
          </w:tcPr>
          <w:p>
            <w:pPr/>
            <w:r>
              <w:t xml:space="preserve">Leaving</w:t>
            </w:r>
          </w:p>
        </w:tc>
        <w:tc>
          <w:tcPr>
            <w:tcW w:w="3120" w:type="dxa"/>
          </w:tcPr>
          <w:p>
            <w:pPr/>
            <w:r>
              <w:t xml:space="preserve">30 days’ notice; Good, Neutral and Bad Leaver rules as in the Equity Model</w:t>
            </w:r>
          </w:p>
        </w:tc>
        <w:tc>
          <w:tcPr>
            <w:tcW w:w="3120" w:type="dxa"/>
          </w:tcPr>
          <w:p>
            <w:pPr/>
            <w:r>
              <w:t xml:space="preserve">11</w:t>
            </w:r>
          </w:p>
        </w:tc>
      </w:tr>
    </w:tbl>
    <w:p>
      <w:pPr>
        <w:pStyle w:val="Heading2"/>
      </w:pPr>
      <w:r>
        <w:t xml:space="preserve">Parties</w:t>
      </w:r>
    </w:p>
    <w:p>
      <w:pPr/>
      <w:r>
        <w:t xml:space="preserve">This Agreement is made on [date] between:</w:t>
      </w:r>
    </w:p>
    <w:p>
      <w:pPr>
        <w:pStyle w:val="ListParagraph"/>
        <w:numPr>
          <w:ilvl w:val="0"/>
          <w:numId w:val="2"/>
        </w:numPr>
      </w:pPr>
      <w:r>
        <w:rPr>
          <w:b/>
        </w:rPr>
        <w:t xml:space="preserve">ABDULLAHI BABA GARBA</w:t>
      </w:r>
      <w:r>
        <w:t xml:space="preserve"> and </w:t>
      </w:r>
      <w:r>
        <w:rPr>
          <w:b/>
        </w:rPr>
        <w:t xml:space="preserve">ESSIEN FRANCES EKOMOBONG</w:t>
      </w:r>
      <w:r>
        <w:t xml:space="preserve">, the Founders, as trustees for the BOLTE Collective and, from the Incorporation Date, on behalf of [BOLTE [Technologies] Limited] (</w:t>
      </w:r>
      <w:r>
        <w:rPr>
          <w:b/>
        </w:rPr>
        <w:t xml:space="preserve">BOLTE</w:t>
      </w:r>
      <w:r>
        <w:t xml:space="preserve">); and</w:t>
      </w:r>
    </w:p>
    <w:p>
      <w:pPr>
        <w:pStyle w:val="ListParagraph"/>
        <w:numPr>
          <w:ilvl w:val="0"/>
          <w:numId w:val="2"/>
        </w:numPr>
      </w:pPr>
      <w:r>
        <w:rPr>
          <w:b/>
        </w:rPr>
        <w:t xml:space="preserve">[full name]</w:t>
      </w:r>
      <w:r>
        <w:t xml:space="preserve"> of [address], ID [type and number] (the </w:t>
      </w:r>
      <w:r>
        <w:rPr>
          <w:b/>
        </w:rPr>
        <w:t xml:space="preserve">Adviser</w:t>
      </w:r>
      <w:r>
        <w:t xml:space="preserve">).</w:t>
      </w:r>
    </w:p>
    <w:p>
      <w:pPr>
        <w:pStyle w:val="Heading2"/>
      </w:pPr>
      <w:r>
        <w:t xml:space="preserve">Background</w:t>
      </w:r>
    </w:p>
    <w:p>
      <w:pPr/>
      <w:r>
        <w:t xml:space="preserve">BOLTE is a Nigerian research, engineering and technology company focused first on indigenous defence and security technology, with AeroPulse-NG as its flagship product. The Founders want experienced independent advice on business strategy and finance, and the Adviser is willing to give it for the equity set out below.</w:t>
      </w:r>
    </w:p>
    <w:p>
      <w:pPr>
        <w:pStyle w:val="Heading2"/>
      </w:pPr>
      <w:r>
        <w:t xml:space="preserve">1. Interpretation</w:t>
      </w:r>
    </w:p>
    <w:p>
      <w:pPr/>
      <w:r>
        <w:t xml:space="preserve">Terms defined in the Member MOU, the Founders’ Agreement and the Equity Model have the same meaning here. </w:t>
      </w:r>
      <w:r>
        <w:rPr>
          <w:b/>
        </w:rPr>
        <w:t xml:space="preserve">Advice</w:t>
      </w:r>
      <w:r>
        <w:t xml:space="preserve"> means opinions, analysis and recommendations given by the Adviser. </w:t>
      </w:r>
      <w:r>
        <w:rPr>
          <w:b/>
        </w:rPr>
        <w:t xml:space="preserve">Vesting Start Date</w:t>
      </w:r>
      <w:r>
        <w:t xml:space="preserve"> is the date of this Agreement.</w:t>
      </w:r>
    </w:p>
    <w:p>
      <w:pPr>
        <w:pStyle w:val="Heading2"/>
      </w:pPr>
      <w:r>
        <w:t xml:space="preserve">2. The role</w:t>
      </w:r>
    </w:p>
    <w:p>
      <w:pPr/>
      <w:r>
        <w:t xml:space="preserve">2.1 The Adviser will give BOLTE independent, honest and timely advice on: business strategy and the portfolio; financial planning, budgets, reserves and the Treasury; pricing and commercial terms for pilots and kits; fundraising, term sheets and investor relations; the Equity Model and the cap table; and the commercial side of the Canon’s ethics gate.</w:t>
      </w:r>
    </w:p>
    <w:p>
      <w:pPr/>
      <w:r>
        <w:t xml:space="preserve">2.2 The Adviser will also: (a) attend the monthly finance review and the quarterly strategy review; (b) give the written opinion required in step 3 of the Founders’ deadlock process within 7 days; (c) give written advice before any spend above ₦500,000 or any commitment over 6 months; (d) review each term sheet before it is answered; (e) be the first point of contact for concerns about a Founder under the Member MOU; and (f) help choose the independent accountant for Fair Value valuations.</w:t>
      </w:r>
    </w:p>
    <w:p>
      <w:pPr/>
      <w:r>
        <w:t xml:space="preserve">2.3 Advice is advice. The Founders may accept or reject it, but a Founder who acts against written Adviser advice on a matter in 2.2(c) or (d) records the reason in the Decision Log.</w:t>
      </w:r>
    </w:p>
    <w:p>
      <w:pPr/>
      <w:r>
        <w:t xml:space="preserve">2.4 </w:t>
      </w:r>
      <w:r>
        <w:rPr>
          <w:b/>
        </w:rPr>
        <w:t xml:space="preserve">Defence guardrails.</w:t>
      </w:r>
      <w:r>
        <w:t xml:space="preserve"> The Adviser will not advise on or introduce BOLTE to any work, funding or partner that would breach the Canon’s guardrails (lawful and legitimate users only, human in the loop, both Founders’ approval of any security-institution or foreign partnership).</w:t>
      </w:r>
    </w:p>
    <w:p>
      <w:pPr>
        <w:pStyle w:val="Heading2"/>
      </w:pPr>
      <w:r>
        <w:t xml:space="preserve">3. No authority</w:t>
      </w:r>
    </w:p>
    <w:p>
      <w:pPr/>
      <w:r>
        <w:t xml:space="preserve">3.1 The Adviser is not a director, officer, employee, agent, partner or member of BOLTE. The Adviser has no authority to: sign for BOLTE; spend or commit its money; open or operate bank accounts; hire or direct staff; promise equity, options or profit shares; accept or negotiate terms with investors, government or military bodies on BOLTE’s behalf; or speak for BOLTE in public.</w:t>
      </w:r>
    </w:p>
    <w:p>
      <w:pPr/>
      <w:r>
        <w:t xml:space="preserve">3.2 The Adviser has no vote on any Reserved Matter and no role in the Founders’ final say in their domains.</w:t>
      </w:r>
    </w:p>
    <w:p>
      <w:pPr/>
      <w:r>
        <w:t xml:space="preserve">3.3 The Adviser may attend meetings by invitation and receives the information in clause 10.</w:t>
      </w:r>
    </w:p>
    <w:p>
      <w:pPr>
        <w:pStyle w:val="Heading2"/>
      </w:pPr>
      <w:r>
        <w:t xml:space="preserve">4. Time and standard of care</w:t>
      </w:r>
    </w:p>
    <w:p>
      <w:pPr/>
      <w:r>
        <w:t xml:space="preserve">4.1 The Adviser will give at least [4] hours a week on average, measured over a month, plus the scheduled reviews. This is the Contribution Standard for Seat E.</w:t>
      </w:r>
    </w:p>
    <w:p>
      <w:pPr/>
      <w:r>
        <w:t xml:space="preserve">4.2 The Adviser will act with reasonable skill and care, respond to written requests within [3] working days, and say plainly when a question is beyond their competence so that BOLTE can use a specialist.</w:t>
      </w:r>
    </w:p>
    <w:p>
      <w:pPr/>
      <w:r>
        <w:t xml:space="preserve">4.3 The Adviser is an independent contractor, free to organise their own time and to have other work, subject to clause 7. The Adviser is not an employee and is responsible for their own tax and any registrations the law requires.</w:t>
      </w:r>
    </w:p>
    <w:p>
      <w:pPr/>
      <w:r>
        <w:t xml:space="preserve">4.4 Approved leave of up to 6 weeks in any 12 months is allowed on written notice, and vesting continues during it.</w:t>
      </w:r>
    </w:p>
    <w:p>
      <w:pPr>
        <w:pStyle w:val="Heading2"/>
      </w:pPr>
      <w:r>
        <w:t xml:space="preserve">5. Equity</w:t>
      </w:r>
    </w:p>
    <w:p>
      <w:pPr/>
      <w:r>
        <w:t xml:space="preserve">5.1 On incorporation BOLTE will allot to the Adviser shares equal to </w:t>
      </w:r>
      <w:r>
        <w:rPr>
          <w:b/>
        </w:rPr>
        <w:t xml:space="preserve">1.0% of the fully diluted share capital</w:t>
      </w:r>
      <w:r>
        <w:t xml:space="preserve"> (the </w:t>
      </w:r>
      <w:r>
        <w:rPr>
          <w:b/>
        </w:rPr>
        <w:t xml:space="preserve">Adviser Shares</w:t>
      </w:r>
      <w:r>
        <w:t xml:space="preserve">), as set out in the Equity Model, Layer B.</w:t>
      </w:r>
    </w:p>
    <w:p>
      <w:pPr/>
      <w:r>
        <w:t xml:space="preserve">5.2 </w:t>
      </w:r>
      <w:r>
        <w:rPr>
          <w:b/>
        </w:rPr>
        <w:t xml:space="preserve">Vesting.</w:t>
      </w:r>
      <w:r>
        <w:t xml:space="preserve"> The Adviser Shares vest over 24 months from the Vesting Start Date: 12.5% at the 3-month cliff and the rest in equal monthly instalments. A month vests only if the Adviser met the Contribution Standard or was on approved leave. A missed month pauses; both Founders may restore it in writing.</w:t>
      </w:r>
    </w:p>
    <w:p>
      <w:pPr/>
      <w:r>
        <w:t xml:space="preserve">5.3 </w:t>
      </w:r>
      <w:r>
        <w:rPr>
          <w:b/>
        </w:rPr>
        <w:t xml:space="preserve">Reverse vesting.</w:t>
      </w:r>
      <w:r>
        <w:t xml:space="preserve"> The shares are allotted at the start subject to a Company repurchase right over unvested shares at nominal value on a Good Leaver exit, and a lapse of unvested shares on any other exit. Counsel and a tax adviser will confirm whether options are a better mechanism.</w:t>
      </w:r>
    </w:p>
    <w:p>
      <w:pPr/>
      <w:r>
        <w:t xml:space="preserve">5.4 </w:t>
      </w:r>
      <w:r>
        <w:rPr>
          <w:b/>
        </w:rPr>
        <w:t xml:space="preserve">Before incorporation</w:t>
      </w:r>
      <w:r>
        <w:t xml:space="preserve"> this Agreement is a binding commitment to allot. It creates no ownership now, and it is not a Layer A cash entitlement.</w:t>
      </w:r>
    </w:p>
    <w:p>
      <w:pPr/>
      <w:r>
        <w:t xml:space="preserve">5.5 </w:t>
      </w:r>
      <w:r>
        <w:rPr>
          <w:b/>
        </w:rPr>
        <w:t xml:space="preserve">No vote.</w:t>
      </w:r>
      <w:r>
        <w:t xml:space="preserve"> The Adviser Shares carry no vote on Reserved Matters. Counsel will structure this either as a class of non-voting shares or as a voting undertaking by the Adviser in favour of the Founders, whichever is enforceable under the articles.</w:t>
      </w:r>
    </w:p>
    <w:p>
      <w:pPr/>
      <w:r>
        <w:t xml:space="preserve">5.6 </w:t>
      </w:r>
      <w:r>
        <w:rPr>
          <w:b/>
        </w:rPr>
        <w:t xml:space="preserve">Sale of the Company.</w:t>
      </w:r>
      <w:r>
        <w:t xml:space="preserve"> On a sale of the Company, 50% of any unvested Adviser Shares vest if the Adviser is terminated without Cause within 12 months afterwards [counsel to confirm]. An investment round does not accelerate vesting.</w:t>
      </w:r>
    </w:p>
    <w:p>
      <w:pPr/>
      <w:r>
        <w:t xml:space="preserve">5.7 </w:t>
      </w:r>
      <w:r>
        <w:rPr>
          <w:b/>
        </w:rPr>
        <w:t xml:space="preserve">Review.</w:t>
      </w:r>
      <w:r>
        <w:t xml:space="preserve"> After 24 months, both Founders will review whether to extend the role with a further grant from the Reserve.</w:t>
      </w:r>
    </w:p>
    <w:p>
      <w:pPr/>
      <w:r>
        <w:t xml:space="preserve">5.8 No other equity, option, profit share, success fee or commission is promised. A promise not signed by both Founders has no effect.</w:t>
      </w:r>
    </w:p>
    <w:p>
      <w:pPr>
        <w:pStyle w:val="Heading2"/>
      </w:pPr>
      <w:r>
        <w:t xml:space="preserve">6. Cash and expenses</w:t>
      </w:r>
    </w:p>
    <w:p>
      <w:pPr/>
      <w:r>
        <w:t xml:space="preserve">6.1 No fee is payable until the Company has raised funding. After that, any fee must be agreed in writing by both Founders.</w:t>
      </w:r>
    </w:p>
    <w:p>
      <w:pPr/>
      <w:r>
        <w:t xml:space="preserve">6.2 Expenses are reimbursed only if the Founders approved them in advance in writing and the Adviser supplies receipts.</w:t>
      </w:r>
    </w:p>
    <w:p>
      <w:pPr/>
      <w:r>
        <w:t xml:space="preserve">6.3 The Adviser will not accept any fee, commission, finder’s fee, equity or benefit from an investor, lender, supplier, customer or other counterparty in connection with BOLTE, and will tell both Founders at once if one is offered.</w:t>
      </w:r>
    </w:p>
    <w:p>
      <w:pPr>
        <w:pStyle w:val="Heading2"/>
      </w:pPr>
      <w:r>
        <w:t xml:space="preserve">7. Independence and conflicts</w:t>
      </w:r>
    </w:p>
    <w:p>
      <w:pPr/>
      <w:r>
        <w:t xml:space="preserve">7.1 The Adviser signs the Conflict-of-Interest Declaration (Part B of the Contributor IP Assignment) and refreshes it every 6 months.</w:t>
      </w:r>
    </w:p>
    <w:p>
      <w:pPr/>
      <w:r>
        <w:t xml:space="preserve">7.2 The Adviser will tell both Founders at once of any actual or potential conflict, including advising an investor, a competitor or any business in the Restricted Field, and will step back from the matter if either Founder asks.</w:t>
      </w:r>
    </w:p>
    <w:p>
      <w:pPr/>
      <w:r>
        <w:t xml:space="preserve">7.3 The Adviser will give the same advice to both Founders and will not take sides in a deadlock. Advice on a deadlock is written and shared with both Founders at the same time.</w:t>
      </w:r>
    </w:p>
    <w:p>
      <w:pPr/>
      <w:r>
        <w:t xml:space="preserve">7.4 The Adviser will not take a role with, or advise, a competing business in the Restricted Field while advising BOLTE and for 12 months afterwards.</w:t>
      </w:r>
    </w:p>
    <w:p>
      <w:pPr>
        <w:pStyle w:val="Heading2"/>
      </w:pPr>
      <w:r>
        <w:t xml:space="preserve">8. Intellectual property</w:t>
      </w:r>
    </w:p>
    <w:p>
      <w:pPr/>
      <w:r>
        <w:t xml:space="preserve">The Adviser signs the Contributor IP Assignment (Part A) with this Agreement. Any idea, analysis, model or document the Adviser creates for BOLTE is Work Product and belongs to BOLTE. The Adviser keeps their own general professional knowledge, methods and templates that existed before and are not specific to BOLTE.</w:t>
      </w:r>
    </w:p>
    <w:p>
      <w:pPr>
        <w:pStyle w:val="Heading2"/>
      </w:pPr>
      <w:r>
        <w:t xml:space="preserve">9. Confidentiality and data</w:t>
      </w:r>
    </w:p>
    <w:p>
      <w:pPr/>
      <w:r>
        <w:t xml:space="preserve">The Adviser signs the Confidentiality Undertaking (Part A) before receiving any internal material, and sees only the tiers listed for the role. The Adviser handles personal data under the Nigerian Data Protection Act 2023 and does not enter restricted or controlled material into any third-party AI tool without both Founders’ written approval.</w:t>
      </w:r>
    </w:p>
    <w:p>
      <w:pPr>
        <w:pStyle w:val="Heading2"/>
      </w:pPr>
      <w:r>
        <w:t xml:space="preserve">10. Information</w:t>
      </w:r>
    </w:p>
    <w:p>
      <w:pPr/>
      <w:r>
        <w:t xml:space="preserve">The Adviser receives the monthly ledger, the cap table, the Decision Log, the funding plan, term sheets and the quarterly Founders’ Health Check summary, and may inspect receipts on 7 days’ notice.</w:t>
      </w:r>
    </w:p>
    <w:p>
      <w:pPr>
        <w:pStyle w:val="Heading2"/>
      </w:pPr>
      <w:r>
        <w:t xml:space="preserve">11. Leaving</w:t>
      </w:r>
    </w:p>
    <w:p>
      <w:pPr/>
      <w:r>
        <w:t xml:space="preserve">11.1 Either side may end this Agreement on 30 days’ written notice. BOLTE may end it at once for Cause.</w:t>
      </w:r>
    </w:p>
    <w:p>
      <w:pPr/>
      <w:r>
        <w:t xml:space="preserve">11.2 </w:t>
      </w:r>
      <w:r>
        <w:rPr>
          <w:b/>
        </w:rPr>
        <w:t xml:space="preserve">Cause</w:t>
      </w:r>
      <w:r>
        <w:t xml:space="preserve"> means fraud, theft, serious misconduct, a material breach of confidentiality, IP or conflict duties, taking a prohibited benefit under clause 6.3, or dishonest advice.</w:t>
      </w:r>
    </w:p>
    <w:p>
      <w:pPr/>
      <w:r>
        <w:t xml:space="preserve">11.3 </w:t>
      </w:r>
      <w:r>
        <w:rPr>
          <w:b/>
        </w:rPr>
        <w:t xml:space="preserve">Good, Neutral and Bad Leaver</w:t>
      </w:r>
      <w:r>
        <w:t xml:space="preserve"> consequences for the Adviser Shares follow the Equity Model, section 4. A Good Leaver keeps vested shares and unvested shares are repurchased at nominal value. A Neutral Leaver keeps vested shares, unvested shares lapse, and BOLTE has a call option at Fair Value for 12 months. A Bad Leaver’s unvested shares lapse and BOLTE may buy vested shares at the lower of nominal value and Fair Value [counsel to confirm].</w:t>
      </w:r>
    </w:p>
    <w:p>
      <w:pPr/>
      <w:r>
        <w:t xml:space="preserve">11.4 On leaving, the Adviser returns all material, access is revoked within 24 hours, and the Adviser confirms in writing that confidentiality, IP and covenant duties continue.</w:t>
      </w:r>
    </w:p>
    <w:p>
      <w:pPr>
        <w:pStyle w:val="Heading2"/>
      </w:pPr>
      <w:r>
        <w:t xml:space="preserve">12. Restrictive covenants</w:t>
      </w:r>
    </w:p>
    <w:p>
      <w:pPr/>
      <w:r>
        <w:t xml:space="preserve">For 12 months after leaving, the Adviser will not solicit any BOLTE member or contractor or use BOLTE confidential information to solicit a customer, partner or investor for a competing product [counsel to refine]. Nothing stops the Adviser from giving general business and financial advice outside the Restricted Field.</w:t>
      </w:r>
    </w:p>
    <w:p>
      <w:pPr>
        <w:pStyle w:val="Heading2"/>
      </w:pPr>
      <w:r>
        <w:t xml:space="preserve">13. Liability</w:t>
      </w:r>
    </w:p>
    <w:p>
      <w:pPr/>
      <w:r>
        <w:t xml:space="preserve">The Adviser is not liable for losses that follow from BOLTE’s decision to accept or reject honest Advice given with reasonable skill and care. This does not limit liability for fraud, wilful misconduct or breach of confidentiality, IP or conflict duties. The Adviser is not liable for the Collective’s obligations.</w:t>
      </w:r>
    </w:p>
    <w:p>
      <w:pPr>
        <w:pStyle w:val="Heading2"/>
      </w:pPr>
      <w:r>
        <w:t xml:space="preserve">14. Vetting before signing</w:t>
      </w:r>
    </w:p>
    <w:p>
      <w:pPr/>
      <w:r>
        <w:t xml:space="preserve">Before this Agreement is signed, the Founders will complete the Adviser vetting checklist below. The Agreement is conditional on the answers being satisfactory.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Done</w:t>
            </w:r>
          </w:p>
        </w:tc>
      </w:tr>
      <w:tr>
        <w:tc>
          <w:tcPr>
            <w:tcW w:w="4680" w:type="dxa"/>
          </w:tcPr>
          <w:p>
            <w:pPr/>
            <w:r>
              <w:t xml:space="preserve">Identity and address verified</w:t>
            </w:r>
          </w:p>
        </w:tc>
        <w:tc>
          <w:tcPr>
            <w:tcW w:w="4680" w:type="dxa"/>
          </w:tcPr>
          <w:p>
            <w:pPr/>
            <w:r>
              <w:t xml:space="preserve">☐</w:t>
            </w:r>
          </w:p>
        </w:tc>
      </w:tr>
      <w:tr>
        <w:tc>
          <w:tcPr>
            <w:tcW w:w="4680" w:type="dxa"/>
          </w:tcPr>
          <w:p>
            <w:pPr/>
            <w:r>
              <w:t xml:space="preserve">Two professional references taken</w:t>
            </w:r>
          </w:p>
        </w:tc>
        <w:tc>
          <w:tcPr>
            <w:tcW w:w="4680" w:type="dxa"/>
          </w:tcPr>
          <w:p>
            <w:pPr/>
            <w:r>
              <w:t xml:space="preserve">☐</w:t>
            </w:r>
          </w:p>
        </w:tc>
      </w:tr>
      <w:tr>
        <w:tc>
          <w:tcPr>
            <w:tcW w:w="4680" w:type="dxa"/>
          </w:tcPr>
          <w:p>
            <w:pPr/>
            <w:r>
              <w:t xml:space="preserve">Qualifications and any professional registration confirmed</w:t>
            </w:r>
          </w:p>
        </w:tc>
        <w:tc>
          <w:tcPr>
            <w:tcW w:w="4680" w:type="dxa"/>
          </w:tcPr>
          <w:p>
            <w:pPr/>
            <w:r>
              <w:t xml:space="preserve">☐</w:t>
            </w:r>
          </w:p>
        </w:tc>
      </w:tr>
      <w:tr>
        <w:tc>
          <w:tcPr>
            <w:tcW w:w="4680" w:type="dxa"/>
          </w:tcPr>
          <w:p>
            <w:pPr/>
            <w:r>
              <w:t xml:space="preserve">Conflict-of-Interest Declaration reviewed, especially public-office, foreign and competitor ties</w:t>
            </w:r>
          </w:p>
        </w:tc>
        <w:tc>
          <w:tcPr>
            <w:tcW w:w="4680" w:type="dxa"/>
          </w:tcPr>
          <w:p>
            <w:pPr/>
            <w:r>
              <w:t xml:space="preserve">☐</w:t>
            </w:r>
          </w:p>
        </w:tc>
      </w:tr>
      <w:tr>
        <w:tc>
          <w:tcPr>
            <w:tcW w:w="4680" w:type="dxa"/>
          </w:tcPr>
          <w:p>
            <w:pPr/>
            <w:r>
              <w:t xml:space="preserve">Current employer’s permission, if the employer’s policy requires it</w:t>
            </w:r>
          </w:p>
        </w:tc>
        <w:tc>
          <w:tcPr>
            <w:tcW w:w="4680" w:type="dxa"/>
          </w:tcPr>
          <w:p>
            <w:pPr/>
            <w:r>
              <w:t xml:space="preserve">☐</w:t>
            </w:r>
          </w:p>
        </w:tc>
      </w:tr>
      <w:tr>
        <w:tc>
          <w:tcPr>
            <w:tcW w:w="4680" w:type="dxa"/>
          </w:tcPr>
          <w:p>
            <w:pPr/>
            <w:r>
              <w:t xml:space="preserve">Written agreement on weekly time and the review calendar</w:t>
            </w:r>
          </w:p>
        </w:tc>
        <w:tc>
          <w:tcPr>
            <w:tcW w:w="4680" w:type="dxa"/>
          </w:tcPr>
          <w:p>
            <w:pPr/>
            <w:r>
              <w:t xml:space="preserve">☐</w:t>
            </w:r>
          </w:p>
        </w:tc>
      </w:tr>
      <w:tr>
        <w:tc>
          <w:tcPr>
            <w:tcW w:w="4680" w:type="dxa"/>
          </w:tcPr>
          <w:p>
            <w:pPr/>
            <w:r>
              <w:t xml:space="preserve">Confidentiality Undertaking and IP Assignment signed before any restricted access</w:t>
            </w:r>
          </w:p>
        </w:tc>
        <w:tc>
          <w:tcPr>
            <w:tcW w:w="4680" w:type="dxa"/>
          </w:tcPr>
          <w:p>
            <w:pPr/>
            <w:r>
              <w:t xml:space="preserve">☐</w:t>
            </w:r>
          </w:p>
        </w:tc>
      </w:tr>
      <w:tr>
        <w:tc>
          <w:tcPr>
            <w:tcW w:w="4680" w:type="dxa"/>
          </w:tcPr>
          <w:p>
            <w:pPr/>
            <w:r>
              <w:t xml:space="preserve">Both Founders agree in writing to the appointment</w:t>
            </w:r>
          </w:p>
        </w:tc>
        <w:tc>
          <w:tcPr>
            <w:tcW w:w="4680" w:type="dxa"/>
          </w:tcPr>
          <w:p>
            <w:pPr/>
            <w:r>
              <w:t xml:space="preserve">☐</w:t>
            </w:r>
          </w:p>
        </w:tc>
      </w:tr>
    </w:tbl>
    <w:p>
      <w:pPr>
        <w:pStyle w:val="Heading2"/>
      </w:pPr>
      <w:r>
        <w:t xml:space="preserve">15. Law, disputes and general</w:t>
      </w:r>
    </w:p>
    <w:p>
      <w:pPr/>
      <w:r>
        <w:t xml:space="preserve">This Agreement is governed by the laws of the Federal Republic of Nigeria. Disputes follow the ladder in the Member MOU (direct talks, mediation, then arbitration under the Arbitration and Mediation Act 2023, sole arbitrator, seated in Lagos), and either side may go to court for urgent relief. This Agreement, the Confidentiality Undertaking, the IP Assignment and the Equity Model are the whole agreement on their subject. Changes need both Founders’ written approval and the Adviser’s written consent. It may be signed in counterparts and electronically. The Adviser confirms they were told they could take independent legal advice and had at least 7 days to read this Agreement.</w:t>
      </w:r>
    </w:p>
    <w:p>
      <w:pPr>
        <w:pStyle w:val="Heading2"/>
      </w:pPr>
      <w:r>
        <w:t xml:space="preserve">Signatures</w:t>
      </w:r>
    </w:p>
    <w:p>
      <w:pPr/>
      <w:r>
        <w:rPr>
          <w:b/>
        </w:rPr>
        <w:t xml:space="preserve">Signed by the Adviser:</w:t>
      </w:r>
      <w:r>
        <w:t xml:space="preserve"> ____________ Printed name: ____________ Date: ________ Witness: name ____________ address ____________ signature ____________</w:t>
      </w:r>
    </w:p>
    <w:p>
      <w:pPr/>
      <w:r>
        <w:rPr>
          <w:b/>
        </w:rPr>
        <w:t xml:space="preserve">Signed by the Founders:</w:t>
      </w:r>
      <w:r>
        <w:t xml:space="preserve"> ____________ (Garba) ____________ (Frances) Date: ________</w:t>
      </w:r>
    </w:p>
    <w:p>
      <w:pPr>
        <w:pStyle w:val="Heading2"/>
      </w:pPr>
      <w:r>
        <w:t xml:space="preserve">Schedule: Adviser terms (edit once here)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Term</w:t>
            </w:r>
          </w:p>
        </w:tc>
      </w:tr>
      <w:tr>
        <w:tc>
          <w:tcPr>
            <w:tcW w:w="4680" w:type="dxa"/>
          </w:tcPr>
          <w:p>
            <w:pPr/>
            <w:r>
              <w:t xml:space="preserve">Seat</w:t>
            </w:r>
          </w:p>
        </w:tc>
        <w:tc>
          <w:tcPr>
            <w:tcW w:w="4680" w:type="dxa"/>
          </w:tcPr>
          <w:p>
            <w:pPr/>
            <w:r>
              <w:t xml:space="preserve">E, Business &amp; Financial Adviser</w:t>
            </w:r>
          </w:p>
        </w:tc>
      </w:tr>
      <w:tr>
        <w:tc>
          <w:tcPr>
            <w:tcW w:w="4680" w:type="dxa"/>
          </w:tcPr>
          <w:p>
            <w:pPr/>
            <w:r>
              <w:t xml:space="preserve">Equity</w:t>
            </w:r>
          </w:p>
        </w:tc>
        <w:tc>
          <w:tcPr>
            <w:tcW w:w="4680" w:type="dxa"/>
          </w:tcPr>
          <w:p>
            <w:pPr/>
            <w:r>
              <w:t xml:space="preserve">1.0% fully diluted</w:t>
            </w:r>
          </w:p>
        </w:tc>
      </w:tr>
      <w:tr>
        <w:tc>
          <w:tcPr>
            <w:tcW w:w="4680" w:type="dxa"/>
          </w:tcPr>
          <w:p>
            <w:pPr/>
            <w:r>
              <w:t xml:space="preserve">Vesting</w:t>
            </w:r>
          </w:p>
        </w:tc>
        <w:tc>
          <w:tcPr>
            <w:tcW w:w="4680" w:type="dxa"/>
          </w:tcPr>
          <w:p>
            <w:pPr/>
            <w:r>
              <w:t xml:space="preserve">24 months; 3-month cliff (12.5%); monthly after</w:t>
            </w:r>
          </w:p>
        </w:tc>
      </w:tr>
      <w:tr>
        <w:tc>
          <w:tcPr>
            <w:tcW w:w="4680" w:type="dxa"/>
          </w:tcPr>
          <w:p>
            <w:pPr/>
            <w:r>
              <w:t xml:space="preserve">Time</w:t>
            </w:r>
          </w:p>
        </w:tc>
        <w:tc>
          <w:tcPr>
            <w:tcW w:w="4680" w:type="dxa"/>
          </w:tcPr>
          <w:p>
            <w:pPr/>
            <w:r>
              <w:t xml:space="preserve">At least [4] hours a week on average, plus monthly and quarterly reviews</w:t>
            </w:r>
          </w:p>
        </w:tc>
      </w:tr>
      <w:tr>
        <w:tc>
          <w:tcPr>
            <w:tcW w:w="4680" w:type="dxa"/>
          </w:tcPr>
          <w:p>
            <w:pPr/>
            <w:r>
              <w:t xml:space="preserve">Cash</w:t>
            </w:r>
          </w:p>
        </w:tc>
        <w:tc>
          <w:tcPr>
            <w:tcW w:w="4680" w:type="dxa"/>
          </w:tcPr>
          <w:p>
            <w:pPr/>
            <w:r>
              <w:t xml:space="preserve">None until funding</w:t>
            </w:r>
          </w:p>
        </w:tc>
      </w:tr>
      <w:tr>
        <w:tc>
          <w:tcPr>
            <w:tcW w:w="4680" w:type="dxa"/>
          </w:tcPr>
          <w:p>
            <w:pPr/>
            <w:r>
              <w:t xml:space="preserve">Restrictive covenants</w:t>
            </w:r>
          </w:p>
        </w:tc>
        <w:tc>
          <w:tcPr>
            <w:tcW w:w="4680" w:type="dxa"/>
          </w:tcPr>
          <w:p>
            <w:pPr/>
            <w:r>
              <w:t xml:space="preserve">12 months</w:t>
            </w:r>
          </w:p>
        </w:tc>
      </w:tr>
      <w:tr>
        <w:tc>
          <w:tcPr>
            <w:tcW w:w="4680" w:type="dxa"/>
          </w:tcPr>
          <w:p>
            <w:pPr/>
            <w:r>
              <w:t xml:space="preserve">Review of the grant</w:t>
            </w:r>
          </w:p>
        </w:tc>
        <w:tc>
          <w:tcPr>
            <w:tcW w:w="4680" w:type="dxa"/>
          </w:tcPr>
          <w:p>
            <w:pPr/>
            <w:r>
              <w:t xml:space="preserve">After 24 months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Business &amp; Financial Adviser Agreement — BOLTE (Draft v1.0)</dc:title>
  <dc:description>Claude Docs node/63ddc997-d58d@1 docx-w6</dc:description>
  <cp:revision>1</cp:revision>
</cp:coreProperties>
</file>