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D141E"/>
          <w:sz w:val="48"/>
        </w:rPr>
        <w:t>AeroPulse-NG — Executive Project Summary</w:t>
      </w:r>
    </w:p>
    <w:p>
      <w:pPr>
        <w:jc w:val="center"/>
      </w:pPr>
      <w:r>
        <w:rPr>
          <w:rFonts w:ascii="Aptos" w:hAnsi="Aptos"/>
          <w:color w:val="64707C"/>
          <w:sz w:val="22"/>
        </w:rPr>
        <w:t>NDAIE 2026  |  Flight Planning &amp; Air Traffic Management</w:t>
      </w:r>
    </w:p>
    <w:p>
      <w:pPr>
        <w:pStyle w:val="Heading1"/>
      </w:pPr>
      <w:r>
        <w:t>Entry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3303A"/>
          <w:left w:val="single" w:sz="6" w:space="0" w:color="23303A"/>
          <w:bottom w:val="single" w:sz="6" w:space="0" w:color="23303A"/>
          <w:right w:val="single" w:sz="6" w:space="0" w:color="23303A"/>
          <w:insideH w:val="single" w:sz="6" w:space="0" w:color="23303A"/>
          <w:insideV w:val="single" w:sz="6" w:space="0" w:color="23303A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vAlign w:val="center"/>
            <w:shd w:fill="0D141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0F2F4"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0D141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0F2F4"/>
                <w:sz w:val="18"/>
              </w:rPr>
              <w:t>Value</w:t>
            </w:r>
          </w:p>
        </w:tc>
      </w:tr>
      <w:tr>
        <w:tc>
          <w:tcPr>
            <w:tcW w:type="dxa" w:w="2448"/>
            <w:vAlign w:val="center"/>
            <w:shd w:fill="F4F6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Primary category</w:t>
            </w:r>
          </w:p>
        </w:tc>
        <w:tc>
          <w:tcPr>
            <w:tcW w:type="dxa" w:w="6912"/>
            <w:vAlign w:val="center"/>
            <w:shd w:fill="F4F6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Flight Planning &amp; Air Traffic Management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Competition</w:t>
            </w:r>
          </w:p>
        </w:tc>
        <w:tc>
          <w:tcPr>
            <w:tcW w:type="dxa" w:w="6912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NDAIE 2026 National Innovation Pitch Challenge</w:t>
            </w:r>
          </w:p>
        </w:tc>
      </w:tr>
      <w:tr>
        <w:tc>
          <w:tcPr>
            <w:tcW w:type="dxa" w:w="2448"/>
            <w:vAlign w:val="center"/>
            <w:shd w:fill="F4F6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Word count</w:t>
            </w:r>
          </w:p>
        </w:tc>
        <w:tc>
          <w:tcPr>
            <w:tcW w:type="dxa" w:w="6912"/>
            <w:vAlign w:val="center"/>
            <w:shd w:fill="F4F6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285 words of the 300-word limit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Development stage</w:t>
            </w:r>
          </w:p>
        </w:tc>
        <w:tc>
          <w:tcPr>
            <w:tcW w:type="dxa" w:w="6912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Working prototype; field hardware integration pending</w:t>
            </w:r>
          </w:p>
        </w:tc>
      </w:tr>
    </w:tbl>
    <w:p>
      <w:pPr>
        <w:spacing w:after="20"/>
      </w:pPr>
    </w:p>
    <w:p>
      <w:pPr>
        <w:pStyle w:val="Heading1"/>
      </w:pPr>
      <w:r>
        <w:t>Problem</w:t>
      </w:r>
    </w:p>
    <w:p>
      <w:r>
        <w:t>Nigeria's airspace is monitored largely through expensive imported primary and secondary surveillance radar — installations costing millions of dollars, demanding specialist maintenance, yet still leaving low-altitude corridors, secondary aerodromes and terrain-shadowed sectors under-covered. When connectivity or a radar head fails, controllers lose the traffic picture precisely when harmattan haze, diversion surges or military activity raise risk. Non-cooperative and transponder-silent aircraft widen the gap further.</w:t>
      </w:r>
    </w:p>
    <w:p>
      <w:pPr>
        <w:pStyle w:val="Heading1"/>
      </w:pPr>
      <w:r>
        <w:t>Proposed solution</w:t>
      </w:r>
    </w:p>
    <w:p>
      <w:r>
        <w:t>AeroPulse-NG is an air-gapped surveillance engine that turns commodity software-defined radios (about USD 150 of hardware) plus a standard PC into a working tactical radar display. It ingests over-the-air aviation telemetry with zero internet or cloud dependency, giving civil air traffic management (NAMA) and tactical command (NAF) a sovereign, locally maintainable traffic picture at a fraction of conventional cost.</w:t>
      </w:r>
    </w:p>
    <w:p>
      <w:pPr>
        <w:pStyle w:val="Heading1"/>
      </w:pPr>
      <w:r>
        <w:t>Technical approach</w:t>
      </w:r>
    </w:p>
    <w:p>
      <w:r>
        <w:t>A Rust/Tauri backend demodulates 1090 MHz Mode S ADS-B, resolving positions through Compact Position Reporting; a six-state Kalman filter (constant-velocity, linear; module ekf.rs historic) smooths jitter and dead-reckons tracks through 30-second RF dropouts. An R*-tree spatial index drives continuous Short-Term Conflict Alerting against ICAO Doc 4444 separation minima (rendered 9.26 km / 305 m) within a 120-second lookahead. A triple-fusion weather matrix merges AWOS serial telemetry, ACARS D-ATIS broadcasts and Mode S BDS 4,4/4,5 downlinks into an offline 3D wind/temperature model tuned for harmattan operations. Defence overlays flag dark targets, squawk emergencies and geofence incursions, and compute intercept geometry. A hardware-accelerated display layer renders HF-STD-010A-compliant screens across dual operator monitors, in SI metric units per NCAA / ICAO Annex 5 policy.</w:t>
      </w:r>
    </w:p>
    <w:p>
      <w:pPr>
        <w:pStyle w:val="Heading1"/>
      </w:pPr>
      <w:r>
        <w:t>Likely impact</w:t>
      </w:r>
    </w:p>
    <w:p>
      <w:r>
        <w:t>Operational: conflict alerting and fused weather at aerodromes that cannot justify radar. Economic: over 99% capital reduction per station. Sovereignty: fully offline national capability. Educational: an engineering reference for Nigerian avionics talent. Development stage: prototype core verified by automated checks; dual-display operator interface complete; RF front-end and field-trial hardware integration next.</w:t>
      </w:r>
    </w:p>
    <w:p>
      <w:r>
        <w:br w:type="page"/>
      </w:r>
    </w:p>
    <w:p>
      <w:pPr>
        <w:pStyle w:val="Heading1"/>
      </w:pPr>
      <w:r>
        <w:t>Verification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3303A"/>
          <w:left w:val="single" w:sz="6" w:space="0" w:color="23303A"/>
          <w:bottom w:val="single" w:sz="6" w:space="0" w:color="23303A"/>
          <w:right w:val="single" w:sz="6" w:space="0" w:color="23303A"/>
          <w:insideH w:val="single" w:sz="6" w:space="0" w:color="23303A"/>
          <w:insideV w:val="single" w:sz="6" w:space="0" w:color="23303A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vAlign w:val="center"/>
            <w:shd w:fill="0D141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0F2F4"/>
                <w:sz w:val="18"/>
              </w:rPr>
              <w:t>Area</w:t>
            </w:r>
          </w:p>
        </w:tc>
        <w:tc>
          <w:tcPr>
            <w:tcW w:type="dxa" w:w="2160"/>
            <w:vAlign w:val="center"/>
            <w:shd w:fill="0D141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0F2F4"/>
                <w:sz w:val="18"/>
              </w:rPr>
              <w:t>Result</w:t>
            </w:r>
          </w:p>
        </w:tc>
        <w:tc>
          <w:tcPr>
            <w:tcW w:type="dxa" w:w="5184"/>
            <w:vAlign w:val="center"/>
            <w:shd w:fill="0D141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0F2F4"/>
                <w:sz w:val="18"/>
              </w:rPr>
              <w:t>Evidence</w:t>
            </w:r>
          </w:p>
        </w:tc>
      </w:tr>
      <w:tr>
        <w:tc>
          <w:tcPr>
            <w:tcW w:type="dxa" w:w="2016"/>
            <w:vAlign w:val="center"/>
            <w:shd w:fill="F4F6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Rust engine</w:t>
            </w:r>
          </w:p>
        </w:tc>
        <w:tc>
          <w:tcPr>
            <w:tcW w:type="dxa" w:w="2160"/>
            <w:vAlign w:val="center"/>
            <w:shd w:fill="F4F6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108 tests passed</w:t>
            </w:r>
          </w:p>
        </w:tc>
        <w:tc>
          <w:tcPr>
            <w:tcW w:type="dxa" w:w="5184"/>
            <w:vAlign w:val="center"/>
            <w:shd w:fill="F4F6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Decoder, CPR, Kalman filter, R*-tree, STCA and engine integration</w:t>
            </w:r>
          </w:p>
        </w:tc>
      </w:tr>
      <w:tr>
        <w:tc>
          <w:tcPr>
            <w:tcW w:type="dxa" w:w="2016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Python sidecar</w:t>
            </w:r>
          </w:p>
        </w:tc>
        <w:tc>
          <w:tcPr>
            <w:tcW w:type="dxa" w:w="2160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21 tests passed</w:t>
            </w:r>
          </w:p>
        </w:tc>
        <w:tc>
          <w:tcPr>
            <w:tcW w:type="dxa" w:w="5184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AWOS codec, METAR parser and DuckDB durability</w:t>
            </w:r>
          </w:p>
        </w:tc>
      </w:tr>
      <w:tr>
        <w:tc>
          <w:tcPr>
            <w:tcW w:type="dxa" w:w="2016"/>
            <w:vAlign w:val="center"/>
            <w:shd w:fill="F4F6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Frontend</w:t>
            </w:r>
          </w:p>
        </w:tc>
        <w:tc>
          <w:tcPr>
            <w:tcW w:type="dxa" w:w="2160"/>
            <w:vAlign w:val="center"/>
            <w:shd w:fill="F4F6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TypeScript clean</w:t>
            </w:r>
          </w:p>
        </w:tc>
        <w:tc>
          <w:tcPr>
            <w:tcW w:type="dxa" w:w="5184"/>
            <w:vAlign w:val="center"/>
            <w:shd w:fill="F4F6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Strict typecheck and Vite multi-page build</w:t>
            </w:r>
          </w:p>
        </w:tc>
      </w:tr>
      <w:tr>
        <w:tc>
          <w:tcPr>
            <w:tcW w:type="dxa" w:w="2016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Desktop shell</w:t>
            </w:r>
          </w:p>
        </w:tc>
        <w:tc>
          <w:tcPr>
            <w:tcW w:type="dxa" w:w="2160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Build verified</w:t>
            </w:r>
          </w:p>
        </w:tc>
        <w:tc>
          <w:tcPr>
            <w:tcW w:type="dxa" w:w="5184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Tauri v2 host linked on Linux with webkit development files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62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-sco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62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Integrity Declaration</w:t>
      </w:r>
    </w:p>
    <w:p>
      <w:r>
        <w:t>The project includes significant declared generative-AI assistance. External sources and dependencies must be credited in the final submission. The team remains responsible for validating all performance, safety, cost and regulatory claims before presenting or operating the system.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07C"/>
        <w:sz w:val="16"/>
      </w:rPr>
      <w:t>AeroPulse-NG v2.4  |  Prototype documentation  |  Verify all operational claims before deployment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07C"/>
        <w:sz w:val="16"/>
      </w:rPr>
      <w:t>AeroPulse-NG  |  AeroPulse-NG — Executive Project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E26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141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65B6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65B6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D141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