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D141E"/>
          <w:sz w:val="48"/>
        </w:rPr>
        <w:t>AeroPulse-NG — Technical Reference</w:t>
      </w:r>
    </w:p>
    <w:p>
      <w:pPr>
        <w:jc w:val="center"/>
      </w:pPr>
      <w:r>
        <w:rPr>
          <w:rFonts w:ascii="Aptos" w:hAnsi="Aptos"/>
          <w:color w:val="64707C"/>
          <w:sz w:val="22"/>
        </w:rPr>
        <w:t>Wire contracts, algorithms and verification</w:t>
      </w:r>
    </w:p>
    <w:p>
      <w:pPr>
        <w:pStyle w:val="Heading1"/>
      </w:pPr>
      <w:r>
        <w:t>1. Hardware and Wire Formats</w:t>
      </w:r>
    </w:p>
    <w:p>
      <w:r>
        <w:t>mode_s_decoder.rs accepts 7-byte and 14-byte Mode S frames, validates CRC-24 address/even parity, attempts single-bit repair and decodes DF17 identity, airborne position, velocity and status messages. CPR pairs are resolved inside a 10-second epoch. acars_decoder.rs parses SOH/MODE/TAIL/ACK/LABEL/BLOCK/STX/TEXT/ETX/BCS and classifies METAR, SPECI and D-ATIS reports.</w:t>
      </w:r>
    </w:p>
    <w:p>
      <w:pPr>
        <w:pStyle w:val="Heading1"/>
      </w:pPr>
      <w:r>
        <w:t>2. Kinematics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3303A"/>
          <w:left w:val="single" w:sz="6" w:space="0" w:color="23303A"/>
          <w:bottom w:val="single" w:sz="6" w:space="0" w:color="23303A"/>
          <w:right w:val="single" w:sz="6" w:space="0" w:color="23303A"/>
          <w:insideH w:val="single" w:sz="6" w:space="0" w:color="23303A"/>
          <w:insideV w:val="single" w:sz="6" w:space="0" w:color="23303A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Component</w:t>
            </w:r>
          </w:p>
        </w:tc>
        <w:tc>
          <w:tcPr>
            <w:tcW w:type="dxa" w:w="7200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Contract</w:t>
            </w:r>
          </w:p>
        </w:tc>
      </w:tr>
      <w:tr>
        <w:tc>
          <w:tcPr>
            <w:tcW w:type="dxa" w:w="216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Kalman filter (CV)</w:t>
            </w:r>
          </w:p>
        </w:tc>
        <w:tc>
          <w:tcPr>
            <w:tcW w:type="dxa" w:w="720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State [x,y,z,vx,vy,vz], ENU metres and metres per second; Joseph covariance update; acquisition warm-up and Mahalanobis gate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Geodesy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SiteOrigin converts WGS-84 latitude/longitude to local ENU and back</w:t>
            </w:r>
          </w:p>
        </w:tc>
      </w:tr>
      <w:tr>
        <w:tc>
          <w:tcPr>
            <w:tcW w:type="dxa" w:w="216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R*-tree</w:t>
            </w:r>
          </w:p>
        </w:tc>
        <w:tc>
          <w:tcPr>
            <w:tcW w:type="dxa" w:w="7200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AABB index with overlap-based subtree selection, margin split and forced reinsertion</w:t>
            </w:r>
          </w:p>
        </w:tc>
      </w:tr>
      <w:tr>
        <w:tc>
          <w:tcPr>
            <w:tcW w:type="dxa" w:w="216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STCA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5 NM / 1,000 ft thresholds, 120-second lookahead, 5-second refinement</w:t>
            </w:r>
          </w:p>
        </w:tc>
      </w:tr>
    </w:tbl>
    <w:p>
      <w:pPr>
        <w:spacing w:after="20"/>
      </w:pPr>
    </w:p>
    <w:p>
      <w:pPr>
        <w:pStyle w:val="Heading1"/>
      </w:pPr>
      <w:r>
        <w:t>3. Weather and Defence</w:t>
      </w:r>
    </w:p>
    <w:p>
      <w:r>
        <w:t>Weather fusion retains AWOS, ACARS and BDS-derived nodes, applies source priority and performs vector-based inverse-distance interpolation with an ISA fallback. Defence modules map 7500, 7600 and 7700; detect identity loss and silence; monitor polygon/floor/ceiling geofences; and solve constant-velocity intercept geometry.</w:t>
      </w:r>
    </w:p>
    <w:p>
      <w:pPr>
        <w:pStyle w:val="Heading1"/>
      </w:pPr>
      <w:r>
        <w:t>4. Engine Snapshot</w:t>
      </w:r>
    </w:p>
    <w:p>
      <w:r>
        <w:t>EngineSnapshot contains tracks, flight data blocks, STCA alerts, geofence breaches, anomaly notes, weather and EngineStatus. The Rust-to-TypeScript field names remain snake_case. The frontend converts wire feet/knots to metre and kilometre-per-hour presentation through src/lib/units.ts.</w:t>
      </w:r>
    </w:p>
    <w:p>
      <w:pPr>
        <w:pStyle w:val="Heading1"/>
      </w:pPr>
      <w:r>
        <w:t>5. Frontend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3303A"/>
          <w:left w:val="single" w:sz="6" w:space="0" w:color="23303A"/>
          <w:bottom w:val="single" w:sz="6" w:space="0" w:color="23303A"/>
          <w:right w:val="single" w:sz="6" w:space="0" w:color="23303A"/>
          <w:insideH w:val="single" w:sz="6" w:space="0" w:color="23303A"/>
          <w:insideV w:val="single" w:sz="6" w:space="0" w:color="23303A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Component</w:t>
            </w:r>
          </w:p>
        </w:tc>
        <w:tc>
          <w:tcPr>
            <w:tcW w:type="dxa" w:w="6768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Responsibility</w:t>
            </w:r>
          </w:p>
        </w:tc>
      </w:tr>
      <w:tr>
        <w:tc>
          <w:tcPr>
            <w:tcW w:type="dxa" w:w="259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RadarCanvas</w:t>
            </w:r>
          </w:p>
        </w:tc>
        <w:tc>
          <w:tcPr>
            <w:tcW w:type="dxa" w:w="676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60 fps radar drawing, aircraft selection, range/bearing measurement and conflict lines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FlightStripTable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Arrival/departure strips and aircraft selection</w:t>
            </w:r>
          </w:p>
        </w:tc>
      </w:tr>
      <w:tr>
        <w:tc>
          <w:tcPr>
            <w:tcW w:type="dxa" w:w="259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AircraftDetailPanel</w:t>
            </w:r>
          </w:p>
        </w:tc>
        <w:tc>
          <w:tcPr>
            <w:tcW w:type="dxa" w:w="676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Individual aircraft data and audio-channel action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WeatherGridHUD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Surface and upper-air conditions with fallback state</w:t>
            </w:r>
          </w:p>
        </w:tc>
      </w:tr>
      <w:tr>
        <w:tc>
          <w:tcPr>
            <w:tcW w:type="dxa" w:w="259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AudioRoutingPanel</w:t>
            </w:r>
          </w:p>
        </w:tc>
        <w:tc>
          <w:tcPr>
            <w:tcW w:type="dxa" w:w="676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Two output devices, frequency selection and guarded PTT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SystemMetrics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Receiver status, spectrum visualisation and performance gauges</w:t>
            </w:r>
          </w:p>
        </w:tc>
      </w:tr>
    </w:tbl>
    <w:p>
      <w:pPr>
        <w:spacing w:after="20"/>
      </w:pPr>
    </w:p>
    <w:p>
      <w:pPr>
        <w:pStyle w:val="Heading1"/>
      </w:pPr>
      <w:r>
        <w:t>6. Verification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3303A"/>
          <w:left w:val="single" w:sz="6" w:space="0" w:color="23303A"/>
          <w:bottom w:val="single" w:sz="6" w:space="0" w:color="23303A"/>
          <w:right w:val="single" w:sz="6" w:space="0" w:color="23303A"/>
          <w:insideH w:val="single" w:sz="6" w:space="0" w:color="23303A"/>
          <w:insideV w:val="single" w:sz="6" w:space="0" w:color="23303A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Suite</w:t>
            </w:r>
          </w:p>
        </w:tc>
        <w:tc>
          <w:tcPr>
            <w:tcW w:type="dxa" w:w="5328"/>
            <w:vAlign w:val="center"/>
            <w:shd w:fill="0D141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0F2F4"/>
                <w:sz w:val="18"/>
              </w:rPr>
              <w:t>Expected result</w:t>
            </w:r>
          </w:p>
        </w:tc>
      </w:tr>
      <w:tr>
        <w:tc>
          <w:tcPr>
            <w:tcW w:type="dxa" w:w="403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cargo test --no-default-features</w:t>
            </w:r>
          </w:p>
        </w:tc>
        <w:tc>
          <w:tcPr>
            <w:tcW w:type="dxa" w:w="532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90 Rust tests pass</w:t>
            </w:r>
          </w:p>
        </w:tc>
      </w:tr>
      <w:tr>
        <w:tc>
          <w:tcPr>
            <w:tcW w:type="dxa" w:w="403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python-sidecar pytest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14 Python tests pass</w:t>
            </w:r>
          </w:p>
        </w:tc>
      </w:tr>
      <w:tr>
        <w:tc>
          <w:tcPr>
            <w:tcW w:type="dxa" w:w="4032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npm run typecheck</w:t>
            </w:r>
          </w:p>
        </w:tc>
        <w:tc>
          <w:tcPr>
            <w:tcW w:type="dxa" w:w="5328"/>
            <w:vAlign w:val="center"/>
            <w:shd w:fill="F4F6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TypeScript compiler exits cleanly</w:t>
            </w:r>
          </w:p>
        </w:tc>
      </w:tr>
      <w:tr>
        <w:tc>
          <w:tcPr>
            <w:tcW w:type="dxa" w:w="4032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npm run build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E2630"/>
                <w:sz w:val="17"/>
              </w:rPr>
              <w:t>Vite emits index.html and hud.html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07C"/>
        <w:sz w:val="16"/>
      </w:rPr>
      <w:t>AeroPulse-NG v2.4  |  Prototype documentation  |  Verify all operational claims before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07C"/>
        <w:sz w:val="16"/>
      </w:rPr>
      <w:t>AeroPulse-NG  |  AeroPulse-NG —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14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65B6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5B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14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