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D141E"/>
          <w:sz w:val="48"/>
        </w:rPr>
        <w:t>AeroPulse-NG — System Architecture</w:t>
      </w:r>
    </w:p>
    <w:p>
      <w:pPr>
        <w:jc w:val="center"/>
      </w:pPr>
      <w:r>
        <w:rPr>
          <w:rFonts w:ascii="Aptos" w:hAnsi="Aptos"/>
          <w:color w:val="64707C"/>
          <w:sz w:val="22"/>
        </w:rPr>
        <w:t>Design, data flow and implementation boundaries</w:t>
      </w:r>
    </w:p>
    <w:p>
      <w:pPr>
        <w:pStyle w:val="Heading1"/>
      </w:pPr>
      <w:r>
        <w:t>1. System Overview</w:t>
      </w:r>
    </w:p>
    <w:p>
      <w:r>
        <w:t>AeroPulse-NG is an air-gapped surveillance workstation. Software-defined radio channels feed a Rust fusion engine; a Python sidecar records data and reads optional AWOS serial observations; two operator displays receive a 60 Hz telemetry snapshot. The design separates deterministic signal and safety calculations from asynchronous desktop I/O.</w:t>
      </w:r>
    </w:p>
    <w:p>
      <w:pPr>
        <w:jc w:val="center"/>
      </w:pPr>
      <w:r>
        <w:drawing>
          <wp:inline xmlns:a="http://schemas.openxmlformats.org/drawingml/2006/main" xmlns:pic="http://schemas.openxmlformats.org/drawingml/2006/picture">
            <wp:extent cx="5943600" cy="3429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429000"/>
                    </a:xfrm>
                    <a:prstGeom prst="rect"/>
                  </pic:spPr>
                </pic:pic>
              </a:graphicData>
            </a:graphic>
          </wp:inline>
        </w:drawing>
      </w:r>
    </w:p>
    <w:p>
      <w:pPr>
        <w:pStyle w:val="Heading1"/>
      </w:pPr>
      <w:r>
        <w:t>2. Pipeline</w:t>
      </w:r>
    </w:p>
    <w:tbl>
      <w:tblPr>
        <w:tblW w:type="auto" w:w="0"/>
        <w:jc w:val="center"/>
        <w:tblLayout w:type="fixed"/>
        <w:tblLook w:firstColumn="1" w:firstRow="1" w:lastColumn="0" w:lastRow="0" w:noHBand="0" w:noVBand="1" w:val="04A0"/>
        <w:tblBorders>
          <w:top w:val="single" w:sz="6" w:space="0" w:color="23303A"/>
          <w:left w:val="single" w:sz="6" w:space="0" w:color="23303A"/>
          <w:bottom w:val="single" w:sz="6" w:space="0" w:color="23303A"/>
          <w:right w:val="single" w:sz="6" w:space="0" w:color="23303A"/>
          <w:insideH w:val="single" w:sz="6" w:space="0" w:color="23303A"/>
          <w:insideV w:val="single" w:sz="6" w:space="0" w:color="23303A"/>
        </w:tblBorders>
      </w:tblPr>
      <w:tblGrid>
        <w:gridCol w:w="3360"/>
        <w:gridCol w:w="3360"/>
        <w:gridCol w:w="3360"/>
      </w:tblGrid>
      <w:tr>
        <w:trPr>
          <w:tblHeader w:val="true"/>
        </w:trPr>
        <w:tc>
          <w:tcPr>
            <w:tcW w:type="dxa" w:w="1728"/>
            <w:vAlign w:val="center"/>
            <w:shd w:fill="0D141E"/>
            <w:tcMar>
              <w:top w:w="90" w:type="dxa"/>
              <w:start w:w="100" w:type="dxa"/>
              <w:bottom w:w="90" w:type="dxa"/>
              <w:end w:w="100" w:type="dxa"/>
            </w:tcMar>
          </w:tcPr>
          <w:p>
            <w:pPr>
              <w:spacing w:after="0"/>
            </w:pPr>
            <w:r>
              <w:rPr>
                <w:rFonts w:ascii="Aptos" w:hAnsi="Aptos"/>
                <w:b/>
                <w:color w:val="F0F2F4"/>
                <w:sz w:val="18"/>
              </w:rPr>
              <w:t>Stage</w:t>
            </w:r>
          </w:p>
        </w:tc>
        <w:tc>
          <w:tcPr>
            <w:tcW w:type="dxa" w:w="3600"/>
            <w:vAlign w:val="center"/>
            <w:shd w:fill="0D141E"/>
            <w:tcMar>
              <w:top w:w="90" w:type="dxa"/>
              <w:start w:w="100" w:type="dxa"/>
              <w:bottom w:w="90" w:type="dxa"/>
              <w:end w:w="100" w:type="dxa"/>
            </w:tcMar>
          </w:tcPr>
          <w:p>
            <w:pPr>
              <w:spacing w:after="0"/>
            </w:pPr>
            <w:r>
              <w:rPr>
                <w:rFonts w:ascii="Aptos" w:hAnsi="Aptos"/>
                <w:b/>
                <w:color w:val="F0F2F4"/>
                <w:sz w:val="18"/>
              </w:rPr>
              <w:t>Input</w:t>
            </w:r>
          </w:p>
        </w:tc>
        <w:tc>
          <w:tcPr>
            <w:tcW w:type="dxa" w:w="4032"/>
            <w:vAlign w:val="center"/>
            <w:shd w:fill="0D141E"/>
            <w:tcMar>
              <w:top w:w="90" w:type="dxa"/>
              <w:start w:w="100" w:type="dxa"/>
              <w:bottom w:w="90" w:type="dxa"/>
              <w:end w:w="100" w:type="dxa"/>
            </w:tcMar>
          </w:tcPr>
          <w:p>
            <w:pPr>
              <w:spacing w:after="0"/>
            </w:pPr>
            <w:r>
              <w:rPr>
                <w:rFonts w:ascii="Aptos" w:hAnsi="Aptos"/>
                <w:b/>
                <w:color w:val="F0F2F4"/>
                <w:sz w:val="18"/>
              </w:rPr>
              <w:t>Output</w:t>
            </w:r>
          </w:p>
        </w:tc>
      </w:tr>
      <w:tr>
        <w:tc>
          <w:tcPr>
            <w:tcW w:type="dxa" w:w="1728"/>
            <w:vAlign w:val="center"/>
            <w:shd w:fill="F4F6F8"/>
            <w:tcMar>
              <w:top w:w="70" w:type="dxa"/>
              <w:start w:w="100" w:type="dxa"/>
              <w:bottom w:w="70" w:type="dxa"/>
              <w:end w:w="100" w:type="dxa"/>
            </w:tcMar>
          </w:tcPr>
          <w:p>
            <w:pPr>
              <w:spacing w:after="0"/>
            </w:pPr>
            <w:r>
              <w:rPr>
                <w:rFonts w:ascii="Aptos" w:hAnsi="Aptos"/>
                <w:color w:val="1E2630"/>
                <w:sz w:val="17"/>
              </w:rPr>
              <w:t>Ingestion</w:t>
            </w:r>
          </w:p>
        </w:tc>
        <w:tc>
          <w:tcPr>
            <w:tcW w:type="dxa" w:w="3600"/>
            <w:vAlign w:val="center"/>
            <w:shd w:fill="F4F6F8"/>
            <w:tcMar>
              <w:top w:w="70" w:type="dxa"/>
              <w:start w:w="100" w:type="dxa"/>
              <w:bottom w:w="70" w:type="dxa"/>
              <w:end w:w="100" w:type="dxa"/>
            </w:tcMar>
          </w:tcPr>
          <w:p>
            <w:pPr>
              <w:spacing w:after="0"/>
            </w:pPr>
            <w:r>
              <w:rPr>
                <w:rFonts w:ascii="Aptos" w:hAnsi="Aptos"/>
                <w:color w:val="1E2630"/>
                <w:sz w:val="17"/>
              </w:rPr>
              <w:t>1090 MHz, 131.55 MHz, VHF and simulator</w:t>
            </w:r>
          </w:p>
        </w:tc>
        <w:tc>
          <w:tcPr>
            <w:tcW w:type="dxa" w:w="4032"/>
            <w:vAlign w:val="center"/>
            <w:shd w:fill="F4F6F8"/>
            <w:tcMar>
              <w:top w:w="70" w:type="dxa"/>
              <w:start w:w="100" w:type="dxa"/>
              <w:bottom w:w="70" w:type="dxa"/>
              <w:end w:w="100" w:type="dxa"/>
            </w:tcMar>
          </w:tcPr>
          <w:p>
            <w:pPr>
              <w:spacing w:after="0"/>
            </w:pPr>
            <w:r>
              <w:rPr>
                <w:rFonts w:ascii="Aptos" w:hAnsi="Aptos"/>
                <w:color w:val="1E2630"/>
                <w:sz w:val="17"/>
              </w:rPr>
              <w:t>Raw frame and weather events</w:t>
            </w:r>
          </w:p>
        </w:tc>
      </w:tr>
      <w:tr>
        <w:tc>
          <w:tcPr>
            <w:tcW w:type="dxa" w:w="1728"/>
            <w:vAlign w:val="center"/>
            <w:shd w:fill="FFFFFF"/>
            <w:tcMar>
              <w:top w:w="70" w:type="dxa"/>
              <w:start w:w="100" w:type="dxa"/>
              <w:bottom w:w="70" w:type="dxa"/>
              <w:end w:w="100" w:type="dxa"/>
            </w:tcMar>
          </w:tcPr>
          <w:p>
            <w:pPr>
              <w:spacing w:after="0"/>
            </w:pPr>
            <w:r>
              <w:rPr>
                <w:rFonts w:ascii="Aptos" w:hAnsi="Aptos"/>
                <w:color w:val="1E2630"/>
                <w:sz w:val="17"/>
              </w:rPr>
              <w:t>Decode</w:t>
            </w:r>
          </w:p>
        </w:tc>
        <w:tc>
          <w:tcPr>
            <w:tcW w:type="dxa" w:w="3600"/>
            <w:vAlign w:val="center"/>
            <w:shd w:fill="FFFFFF"/>
            <w:tcMar>
              <w:top w:w="70" w:type="dxa"/>
              <w:start w:w="100" w:type="dxa"/>
              <w:bottom w:w="70" w:type="dxa"/>
              <w:end w:w="100" w:type="dxa"/>
            </w:tcMar>
          </w:tcPr>
          <w:p>
            <w:pPr>
              <w:spacing w:after="0"/>
            </w:pPr>
            <w:r>
              <w:rPr>
                <w:rFonts w:ascii="Aptos" w:hAnsi="Aptos"/>
                <w:color w:val="1E2630"/>
                <w:sz w:val="17"/>
              </w:rPr>
              <w:t>Mode S / ACARS bytes</w:t>
            </w:r>
          </w:p>
        </w:tc>
        <w:tc>
          <w:tcPr>
            <w:tcW w:type="dxa" w:w="4032"/>
            <w:vAlign w:val="center"/>
            <w:shd w:fill="FFFFFF"/>
            <w:tcMar>
              <w:top w:w="70" w:type="dxa"/>
              <w:start w:w="100" w:type="dxa"/>
              <w:bottom w:w="70" w:type="dxa"/>
              <w:end w:w="100" w:type="dxa"/>
            </w:tcMar>
          </w:tcPr>
          <w:p>
            <w:pPr>
              <w:spacing w:after="0"/>
            </w:pPr>
            <w:r>
              <w:rPr>
                <w:rFonts w:ascii="Aptos" w:hAnsi="Aptos"/>
                <w:color w:val="1E2630"/>
                <w:sz w:val="17"/>
              </w:rPr>
              <w:t>Identity, position, velocity and reports</w:t>
            </w:r>
          </w:p>
        </w:tc>
      </w:tr>
      <w:tr>
        <w:tc>
          <w:tcPr>
            <w:tcW w:type="dxa" w:w="1728"/>
            <w:vAlign w:val="center"/>
            <w:shd w:fill="F4F6F8"/>
            <w:tcMar>
              <w:top w:w="70" w:type="dxa"/>
              <w:start w:w="100" w:type="dxa"/>
              <w:bottom w:w="70" w:type="dxa"/>
              <w:end w:w="100" w:type="dxa"/>
            </w:tcMar>
          </w:tcPr>
          <w:p>
            <w:pPr>
              <w:spacing w:after="0"/>
            </w:pPr>
            <w:r>
              <w:rPr>
                <w:rFonts w:ascii="Aptos" w:hAnsi="Aptos"/>
                <w:color w:val="1E2630"/>
                <w:sz w:val="17"/>
              </w:rPr>
              <w:t>Filter</w:t>
            </w:r>
          </w:p>
        </w:tc>
        <w:tc>
          <w:tcPr>
            <w:tcW w:type="dxa" w:w="3600"/>
            <w:vAlign w:val="center"/>
            <w:shd w:fill="F4F6F8"/>
            <w:tcMar>
              <w:top w:w="70" w:type="dxa"/>
              <w:start w:w="100" w:type="dxa"/>
              <w:bottom w:w="70" w:type="dxa"/>
              <w:end w:w="100" w:type="dxa"/>
            </w:tcMar>
          </w:tcPr>
          <w:p>
            <w:pPr>
              <w:spacing w:after="0"/>
            </w:pPr>
            <w:r>
              <w:rPr>
                <w:rFonts w:ascii="Aptos" w:hAnsi="Aptos"/>
                <w:color w:val="1E2630"/>
                <w:sz w:val="17"/>
              </w:rPr>
              <w:t>Geodetic observations</w:t>
            </w:r>
          </w:p>
        </w:tc>
        <w:tc>
          <w:tcPr>
            <w:tcW w:type="dxa" w:w="4032"/>
            <w:vAlign w:val="center"/>
            <w:shd w:fill="F4F6F8"/>
            <w:tcMar>
              <w:top w:w="70" w:type="dxa"/>
              <w:start w:w="100" w:type="dxa"/>
              <w:bottom w:w="70" w:type="dxa"/>
              <w:end w:w="100" w:type="dxa"/>
            </w:tcMar>
          </w:tcPr>
          <w:p>
            <w:pPr>
              <w:spacing w:after="0"/>
            </w:pPr>
            <w:r>
              <w:rPr>
                <w:rFonts w:ascii="Aptos" w:hAnsi="Aptos"/>
                <w:color w:val="1E2630"/>
                <w:sz w:val="17"/>
              </w:rPr>
              <w:t>ENU state and covariance</w:t>
            </w:r>
          </w:p>
        </w:tc>
      </w:tr>
      <w:tr>
        <w:tc>
          <w:tcPr>
            <w:tcW w:type="dxa" w:w="1728"/>
            <w:vAlign w:val="center"/>
            <w:shd w:fill="FFFFFF"/>
            <w:tcMar>
              <w:top w:w="70" w:type="dxa"/>
              <w:start w:w="100" w:type="dxa"/>
              <w:bottom w:w="70" w:type="dxa"/>
              <w:end w:w="100" w:type="dxa"/>
            </w:tcMar>
          </w:tcPr>
          <w:p>
            <w:pPr>
              <w:spacing w:after="0"/>
            </w:pPr>
            <w:r>
              <w:rPr>
                <w:rFonts w:ascii="Aptos" w:hAnsi="Aptos"/>
                <w:color w:val="1E2630"/>
                <w:sz w:val="17"/>
              </w:rPr>
              <w:t>Assess</w:t>
            </w:r>
          </w:p>
        </w:tc>
        <w:tc>
          <w:tcPr>
            <w:tcW w:type="dxa" w:w="3600"/>
            <w:vAlign w:val="center"/>
            <w:shd w:fill="FFFFFF"/>
            <w:tcMar>
              <w:top w:w="70" w:type="dxa"/>
              <w:start w:w="100" w:type="dxa"/>
              <w:bottom w:w="70" w:type="dxa"/>
              <w:end w:w="100" w:type="dxa"/>
            </w:tcMar>
          </w:tcPr>
          <w:p>
            <w:pPr>
              <w:spacing w:after="0"/>
            </w:pPr>
            <w:r>
              <w:rPr>
                <w:rFonts w:ascii="Aptos" w:hAnsi="Aptos"/>
                <w:color w:val="1E2630"/>
                <w:sz w:val="17"/>
              </w:rPr>
              <w:t>Predicted tracks</w:t>
            </w:r>
          </w:p>
        </w:tc>
        <w:tc>
          <w:tcPr>
            <w:tcW w:type="dxa" w:w="4032"/>
            <w:vAlign w:val="center"/>
            <w:shd w:fill="FFFFFF"/>
            <w:tcMar>
              <w:top w:w="70" w:type="dxa"/>
              <w:start w:w="100" w:type="dxa"/>
              <w:bottom w:w="70" w:type="dxa"/>
              <w:end w:w="100" w:type="dxa"/>
            </w:tcMar>
          </w:tcPr>
          <w:p>
            <w:pPr>
              <w:spacing w:after="0"/>
            </w:pPr>
            <w:r>
              <w:rPr>
                <w:rFonts w:ascii="Aptos" w:hAnsi="Aptos"/>
                <w:color w:val="1E2630"/>
                <w:sz w:val="17"/>
              </w:rPr>
              <w:t>STCA, anomaly and geofence events</w:t>
            </w:r>
          </w:p>
        </w:tc>
      </w:tr>
      <w:tr>
        <w:tc>
          <w:tcPr>
            <w:tcW w:type="dxa" w:w="1728"/>
            <w:vAlign w:val="center"/>
            <w:shd w:fill="F4F6F8"/>
            <w:tcMar>
              <w:top w:w="70" w:type="dxa"/>
              <w:start w:w="100" w:type="dxa"/>
              <w:bottom w:w="70" w:type="dxa"/>
              <w:end w:w="100" w:type="dxa"/>
            </w:tcMar>
          </w:tcPr>
          <w:p>
            <w:pPr>
              <w:spacing w:after="0"/>
            </w:pPr>
            <w:r>
              <w:rPr>
                <w:rFonts w:ascii="Aptos" w:hAnsi="Aptos"/>
                <w:color w:val="1E2630"/>
                <w:sz w:val="17"/>
              </w:rPr>
              <w:t>Publish</w:t>
            </w:r>
          </w:p>
        </w:tc>
        <w:tc>
          <w:tcPr>
            <w:tcW w:type="dxa" w:w="3600"/>
            <w:vAlign w:val="center"/>
            <w:shd w:fill="F4F6F8"/>
            <w:tcMar>
              <w:top w:w="70" w:type="dxa"/>
              <w:start w:w="100" w:type="dxa"/>
              <w:bottom w:w="70" w:type="dxa"/>
              <w:end w:w="100" w:type="dxa"/>
            </w:tcMar>
          </w:tcPr>
          <w:p>
            <w:pPr>
              <w:spacing w:after="0"/>
            </w:pPr>
            <w:r>
              <w:rPr>
                <w:rFonts w:ascii="Aptos" w:hAnsi="Aptos"/>
                <w:color w:val="1E2630"/>
                <w:sz w:val="17"/>
              </w:rPr>
              <w:t>Engine state</w:t>
            </w:r>
          </w:p>
        </w:tc>
        <w:tc>
          <w:tcPr>
            <w:tcW w:type="dxa" w:w="4032"/>
            <w:vAlign w:val="center"/>
            <w:shd w:fill="F4F6F8"/>
            <w:tcMar>
              <w:top w:w="70" w:type="dxa"/>
              <w:start w:w="100" w:type="dxa"/>
              <w:bottom w:w="70" w:type="dxa"/>
              <w:end w:w="100" w:type="dxa"/>
            </w:tcMar>
          </w:tcPr>
          <w:p>
            <w:pPr>
              <w:spacing w:after="0"/>
            </w:pPr>
            <w:r>
              <w:rPr>
                <w:rFonts w:ascii="Aptos" w:hAnsi="Aptos"/>
                <w:color w:val="1E2630"/>
                <w:sz w:val="17"/>
              </w:rPr>
              <w:t>EngineSnapshot on telemetry bus</w:t>
            </w:r>
          </w:p>
        </w:tc>
      </w:tr>
      <w:tr>
        <w:tc>
          <w:tcPr>
            <w:tcW w:type="dxa" w:w="1728"/>
            <w:vAlign w:val="center"/>
            <w:shd w:fill="FFFFFF"/>
            <w:tcMar>
              <w:top w:w="70" w:type="dxa"/>
              <w:start w:w="100" w:type="dxa"/>
              <w:bottom w:w="70" w:type="dxa"/>
              <w:end w:w="100" w:type="dxa"/>
            </w:tcMar>
          </w:tcPr>
          <w:p>
            <w:pPr>
              <w:spacing w:after="0"/>
            </w:pPr>
            <w:r>
              <w:rPr>
                <w:rFonts w:ascii="Aptos" w:hAnsi="Aptos"/>
                <w:color w:val="1E2630"/>
                <w:sz w:val="17"/>
              </w:rPr>
              <w:t>Present</w:t>
            </w:r>
          </w:p>
        </w:tc>
        <w:tc>
          <w:tcPr>
            <w:tcW w:type="dxa" w:w="3600"/>
            <w:vAlign w:val="center"/>
            <w:shd w:fill="FFFFFF"/>
            <w:tcMar>
              <w:top w:w="70" w:type="dxa"/>
              <w:start w:w="100" w:type="dxa"/>
              <w:bottom w:w="70" w:type="dxa"/>
              <w:end w:w="100" w:type="dxa"/>
            </w:tcMar>
          </w:tcPr>
          <w:p>
            <w:pPr>
              <w:spacing w:after="0"/>
            </w:pPr>
            <w:r>
              <w:rPr>
                <w:rFonts w:ascii="Aptos" w:hAnsi="Aptos"/>
                <w:color w:val="1E2630"/>
                <w:sz w:val="17"/>
              </w:rPr>
              <w:t>Snapshot</w:t>
            </w:r>
          </w:p>
        </w:tc>
        <w:tc>
          <w:tcPr>
            <w:tcW w:type="dxa" w:w="4032"/>
            <w:vAlign w:val="center"/>
            <w:shd w:fill="FFFFFF"/>
            <w:tcMar>
              <w:top w:w="70" w:type="dxa"/>
              <w:start w:w="100" w:type="dxa"/>
              <w:bottom w:w="70" w:type="dxa"/>
              <w:end w:w="100" w:type="dxa"/>
            </w:tcMar>
          </w:tcPr>
          <w:p>
            <w:pPr>
              <w:spacing w:after="0"/>
            </w:pPr>
            <w:r>
              <w:rPr>
                <w:rFonts w:ascii="Aptos" w:hAnsi="Aptos"/>
                <w:color w:val="1E2630"/>
                <w:sz w:val="17"/>
              </w:rPr>
              <w:t>Radar canvas and operations panels</w:t>
            </w:r>
          </w:p>
        </w:tc>
      </w:tr>
    </w:tbl>
    <w:p>
      <w:pPr>
        <w:spacing w:after="20"/>
      </w:pPr>
    </w:p>
    <w:p>
      <w:pPr>
        <w:pStyle w:val="Heading1"/>
      </w:pPr>
      <w:r>
        <w:t>3. Core Design Decisions</w:t>
      </w:r>
    </w:p>
    <w:p>
      <w:pPr>
        <w:pStyle w:val="ListBullet"/>
        <w:spacing w:after="60"/>
      </w:pPr>
      <w:r>
        <w:t>The simulator creates genuine DF17 frames and sends them through the same decoder used by the future RF path.</w:t>
      </w:r>
    </w:p>
    <w:p>
      <w:pPr>
        <w:pStyle w:val="ListBullet"/>
        <w:spacing w:after="60"/>
      </w:pPr>
      <w:r>
        <w:t>The engine queues observations, predicts once per tick, then fuses measurements against the current epoch.</w:t>
      </w:r>
    </w:p>
    <w:p>
      <w:pPr>
        <w:pStyle w:val="ListBullet"/>
        <w:spacing w:after="60"/>
      </w:pPr>
      <w:r>
        <w:t>The Kalman filter (CV) uses metres and metres per second internally; operator displays convert to SI presentation units in one utility module.</w:t>
      </w:r>
    </w:p>
    <w:p>
      <w:pPr>
        <w:pStyle w:val="ListBullet"/>
        <w:spacing w:after="60"/>
      </w:pPr>
      <w:r>
        <w:t>Safety thresholds remain ICAO constants internally: 5 NM horizontal and 1,000 ft vertical, displayed as 9.26 km and 305 m.</w:t>
      </w:r>
    </w:p>
    <w:p>
      <w:pPr>
        <w:pStyle w:val="ListBullet"/>
        <w:spacing w:after="60"/>
      </w:pPr>
      <w:r>
        <w:t>Optional persistence and simulated weather degrade independently and must not stop the surveillance engine.</w:t>
      </w:r>
    </w:p>
    <w:p>
      <w:pPr>
        <w:pStyle w:val="Heading1"/>
      </w:pPr>
      <w:r>
        <w:t>4. Runtime and IPC</w:t>
      </w:r>
    </w:p>
    <w:p>
      <w:r>
        <w:t>The Tauri runtime owns the 60 Hz clock, feeds simulator or hardware events into the engine, emits telemetry://snapshot to both windows and sends batched track records to the sidecar. Tauri commands provide snapshot pulls, weather queries, geofence administration, emergency override and intercept calculation. The sidecar uses one JSON object per line over standard input and output.</w:t>
      </w:r>
    </w:p>
    <w:p>
      <w:pPr>
        <w:pStyle w:val="Heading1"/>
      </w:pPr>
      <w:r>
        <w:t>5. Limitations and Roadmap</w:t>
      </w:r>
    </w:p>
    <w:p>
      <w:pPr>
        <w:pStyle w:val="ListBullet"/>
        <w:spacing w:after="60"/>
      </w:pPr>
      <w:r>
        <w:t>The real RTL-SDR I/Q and DSP front-end remains the next hardware integration task.</w:t>
      </w:r>
    </w:p>
    <w:p>
      <w:pPr>
        <w:pStyle w:val="ListBullet"/>
        <w:spacing w:after="60"/>
      </w:pPr>
      <w:r>
        <w:t>The diagnostics spectrum is a visual prototype until live FFT bins are connected.</w:t>
      </w:r>
    </w:p>
    <w:p>
      <w:pPr>
        <w:pStyle w:val="ListBullet"/>
        <w:spacing w:after="60"/>
      </w:pPr>
      <w:r>
        <w:t>BDS register codecs are implemented; live Comm-B interrogation scheduling remains pending.</w:t>
      </w:r>
    </w:p>
    <w:p>
      <w:pPr>
        <w:pStyle w:val="ListBullet"/>
        <w:spacing w:after="60"/>
      </w:pPr>
      <w:r>
        <w:t>Operational deployment requires formal safety assessment, frequency coordination, licensing and authority approval.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07C"/>
        <w:sz w:val="16"/>
      </w:rPr>
      <w:t>AeroPulse-NG v2.4  |  Prototype documentation  |  Verify all operational claims before deployment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07C"/>
        <w:sz w:val="16"/>
      </w:rPr>
      <w:t>AeroPulse-NG  |  AeroPulse-NG — System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6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141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5B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5B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141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