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D141E"/>
          <w:sz w:val="48"/>
        </w:rPr>
        <w:t>AeroPulse-NG — User Manual</w:t>
      </w:r>
    </w:p>
    <w:p>
      <w:pPr>
        <w:jc w:val="center"/>
      </w:pPr>
      <w:r>
        <w:rPr>
          <w:rFonts w:ascii="Aptos" w:hAnsi="Aptos"/>
          <w:color w:val="64707C"/>
          <w:sz w:val="22"/>
        </w:rPr>
        <w:t>Bench setup, operation and safety guidance</w:t>
      </w:r>
    </w:p>
    <w:p>
      <w:pPr>
        <w:pStyle w:val="Heading1"/>
      </w:pPr>
      <w:r>
        <w:t>1. Purpose and Scope</w:t>
      </w:r>
    </w:p>
    <w:p>
      <w:r>
        <w:t>This guide covers bench operation using the simulator and optional receive hardware. It is not an operational approval, an ATC procedure or an authorisation to transmit on aviation frequencies.</w:t>
      </w:r>
    </w:p>
    <w:p>
      <w:pPr>
        <w:pStyle w:val="Heading1"/>
      </w:pPr>
      <w:r>
        <w:t>2. Installation</w:t>
      </w:r>
    </w:p>
    <w:tbl>
      <w:tblPr>
        <w:tblW w:type="auto" w:w="0"/>
        <w:jc w:val="center"/>
        <w:tblLayout w:type="fixed"/>
        <w:tblLook w:firstColumn="1" w:firstRow="1" w:lastColumn="0" w:lastRow="0" w:noHBand="0" w:noVBand="1" w:val="04A0"/>
        <w:tblBorders>
          <w:top w:val="single" w:sz="6" w:space="0" w:color="23303A"/>
          <w:left w:val="single" w:sz="6" w:space="0" w:color="23303A"/>
          <w:bottom w:val="single" w:sz="6" w:space="0" w:color="23303A"/>
          <w:right w:val="single" w:sz="6" w:space="0" w:color="23303A"/>
          <w:insideH w:val="single" w:sz="6" w:space="0" w:color="23303A"/>
          <w:insideV w:val="single" w:sz="6" w:space="0" w:color="23303A"/>
        </w:tblBorders>
      </w:tblPr>
      <w:tblGrid>
        <w:gridCol w:w="5040"/>
        <w:gridCol w:w="5040"/>
      </w:tblGrid>
      <w:tr>
        <w:trPr>
          <w:tblHeader w:val="true"/>
        </w:trPr>
        <w:tc>
          <w:tcPr>
            <w:tcW w:type="dxa" w:w="2160"/>
            <w:vAlign w:val="center"/>
            <w:shd w:fill="0D141E"/>
            <w:tcMar>
              <w:top w:w="90" w:type="dxa"/>
              <w:start w:w="100" w:type="dxa"/>
              <w:bottom w:w="90" w:type="dxa"/>
              <w:end w:w="100" w:type="dxa"/>
            </w:tcMar>
          </w:tcPr>
          <w:p>
            <w:pPr>
              <w:spacing w:after="0"/>
            </w:pPr>
            <w:r>
              <w:rPr>
                <w:rFonts w:ascii="Aptos" w:hAnsi="Aptos"/>
                <w:b/>
                <w:color w:val="F0F2F4"/>
                <w:sz w:val="18"/>
              </w:rPr>
              <w:t>Requirement</w:t>
            </w:r>
          </w:p>
        </w:tc>
        <w:tc>
          <w:tcPr>
            <w:tcW w:type="dxa" w:w="7200"/>
            <w:vAlign w:val="center"/>
            <w:shd w:fill="0D141E"/>
            <w:tcMar>
              <w:top w:w="90" w:type="dxa"/>
              <w:start w:w="100" w:type="dxa"/>
              <w:bottom w:w="90" w:type="dxa"/>
              <w:end w:w="100" w:type="dxa"/>
            </w:tcMar>
          </w:tcPr>
          <w:p>
            <w:pPr>
              <w:spacing w:after="0"/>
            </w:pPr>
            <w:r>
              <w:rPr>
                <w:rFonts w:ascii="Aptos" w:hAnsi="Aptos"/>
                <w:b/>
                <w:color w:val="F0F2F4"/>
                <w:sz w:val="18"/>
              </w:rPr>
              <w:t>Bench recommendation</w:t>
            </w:r>
          </w:p>
        </w:tc>
      </w:tr>
      <w:tr>
        <w:tc>
          <w:tcPr>
            <w:tcW w:type="dxa" w:w="2160"/>
            <w:vAlign w:val="center"/>
            <w:shd w:fill="F4F6F8"/>
            <w:tcMar>
              <w:top w:w="70" w:type="dxa"/>
              <w:start w:w="100" w:type="dxa"/>
              <w:bottom w:w="70" w:type="dxa"/>
              <w:end w:w="100" w:type="dxa"/>
            </w:tcMar>
          </w:tcPr>
          <w:p>
            <w:pPr>
              <w:spacing w:after="0"/>
            </w:pPr>
            <w:r>
              <w:rPr>
                <w:rFonts w:ascii="Aptos" w:hAnsi="Aptos"/>
                <w:color w:val="1E2630"/>
                <w:sz w:val="17"/>
              </w:rPr>
              <w:t>Host</w:t>
            </w:r>
          </w:p>
        </w:tc>
        <w:tc>
          <w:tcPr>
            <w:tcW w:type="dxa" w:w="7200"/>
            <w:vAlign w:val="center"/>
            <w:shd w:fill="F4F6F8"/>
            <w:tcMar>
              <w:top w:w="70" w:type="dxa"/>
              <w:start w:w="100" w:type="dxa"/>
              <w:bottom w:w="70" w:type="dxa"/>
              <w:end w:w="100" w:type="dxa"/>
            </w:tcMar>
          </w:tcPr>
          <w:p>
            <w:pPr>
              <w:spacing w:after="0"/>
            </w:pPr>
            <w:r>
              <w:rPr>
                <w:rFonts w:ascii="Aptos" w:hAnsi="Aptos"/>
                <w:color w:val="1E2630"/>
                <w:sz w:val="17"/>
              </w:rPr>
              <w:t>Current laptop or desktop; 4 CPU cores and 8 GB RAM recommended</w:t>
            </w:r>
          </w:p>
        </w:tc>
      </w:tr>
      <w:tr>
        <w:tc>
          <w:tcPr>
            <w:tcW w:type="dxa" w:w="2160"/>
            <w:vAlign w:val="center"/>
            <w:shd w:fill="FFFFFF"/>
            <w:tcMar>
              <w:top w:w="70" w:type="dxa"/>
              <w:start w:w="100" w:type="dxa"/>
              <w:bottom w:w="70" w:type="dxa"/>
              <w:end w:w="100" w:type="dxa"/>
            </w:tcMar>
          </w:tcPr>
          <w:p>
            <w:pPr>
              <w:spacing w:after="0"/>
            </w:pPr>
            <w:r>
              <w:rPr>
                <w:rFonts w:ascii="Aptos" w:hAnsi="Aptos"/>
                <w:color w:val="1E2630"/>
                <w:sz w:val="17"/>
              </w:rPr>
              <w:t>Receiver</w:t>
            </w:r>
          </w:p>
        </w:tc>
        <w:tc>
          <w:tcPr>
            <w:tcW w:type="dxa" w:w="7200"/>
            <w:vAlign w:val="center"/>
            <w:shd w:fill="FFFFFF"/>
            <w:tcMar>
              <w:top w:w="70" w:type="dxa"/>
              <w:start w:w="100" w:type="dxa"/>
              <w:bottom w:w="70" w:type="dxa"/>
              <w:end w:w="100" w:type="dxa"/>
            </w:tcMar>
          </w:tcPr>
          <w:p>
            <w:pPr>
              <w:spacing w:after="0"/>
            </w:pPr>
            <w:r>
              <w:rPr>
                <w:rFonts w:ascii="Aptos" w:hAnsi="Aptos"/>
                <w:color w:val="1E2630"/>
                <w:sz w:val="17"/>
              </w:rPr>
              <w:t>Three RTL-SDR Blog V4 units for ADS-B, ACARS and VHF receive</w:t>
            </w:r>
          </w:p>
        </w:tc>
      </w:tr>
      <w:tr>
        <w:tc>
          <w:tcPr>
            <w:tcW w:type="dxa" w:w="2160"/>
            <w:vAlign w:val="center"/>
            <w:shd w:fill="F4F6F8"/>
            <w:tcMar>
              <w:top w:w="70" w:type="dxa"/>
              <w:start w:w="100" w:type="dxa"/>
              <w:bottom w:w="70" w:type="dxa"/>
              <w:end w:w="100" w:type="dxa"/>
            </w:tcMar>
          </w:tcPr>
          <w:p>
            <w:pPr>
              <w:spacing w:after="0"/>
            </w:pPr>
            <w:r>
              <w:rPr>
                <w:rFonts w:ascii="Aptos" w:hAnsi="Aptos"/>
                <w:color w:val="1E2630"/>
                <w:sz w:val="17"/>
              </w:rPr>
              <w:t>Transmitter</w:t>
            </w:r>
          </w:p>
        </w:tc>
        <w:tc>
          <w:tcPr>
            <w:tcW w:type="dxa" w:w="7200"/>
            <w:vAlign w:val="center"/>
            <w:shd w:fill="F4F6F8"/>
            <w:tcMar>
              <w:top w:w="70" w:type="dxa"/>
              <w:start w:w="100" w:type="dxa"/>
              <w:bottom w:w="70" w:type="dxa"/>
              <w:end w:w="100" w:type="dxa"/>
            </w:tcMar>
          </w:tcPr>
          <w:p>
            <w:pPr>
              <w:spacing w:after="0"/>
            </w:pPr>
            <w:r>
              <w:rPr>
                <w:rFonts w:ascii="Aptos" w:hAnsi="Aptos"/>
                <w:color w:val="1E2630"/>
                <w:sz w:val="17"/>
              </w:rPr>
              <w:t>Not required for receive-only bench testing; HackRF TX requires authorisation and controlled test conditions</w:t>
            </w:r>
          </w:p>
        </w:tc>
      </w:tr>
      <w:tr>
        <w:tc>
          <w:tcPr>
            <w:tcW w:type="dxa" w:w="2160"/>
            <w:vAlign w:val="center"/>
            <w:shd w:fill="FFFFFF"/>
            <w:tcMar>
              <w:top w:w="70" w:type="dxa"/>
              <w:start w:w="100" w:type="dxa"/>
              <w:bottom w:w="70" w:type="dxa"/>
              <w:end w:w="100" w:type="dxa"/>
            </w:tcMar>
          </w:tcPr>
          <w:p>
            <w:pPr>
              <w:spacing w:after="0"/>
            </w:pPr>
            <w:r>
              <w:rPr>
                <w:rFonts w:ascii="Aptos" w:hAnsi="Aptos"/>
                <w:color w:val="1E2630"/>
                <w:sz w:val="17"/>
              </w:rPr>
              <w:t>Audio</w:t>
            </w:r>
          </w:p>
        </w:tc>
        <w:tc>
          <w:tcPr>
            <w:tcW w:type="dxa" w:w="7200"/>
            <w:vAlign w:val="center"/>
            <w:shd w:fill="FFFFFF"/>
            <w:tcMar>
              <w:top w:w="70" w:type="dxa"/>
              <w:start w:w="100" w:type="dxa"/>
              <w:bottom w:w="70" w:type="dxa"/>
              <w:end w:w="100" w:type="dxa"/>
            </w:tcMar>
          </w:tcPr>
          <w:p>
            <w:pPr>
              <w:spacing w:after="0"/>
            </w:pPr>
            <w:r>
              <w:rPr>
                <w:rFonts w:ascii="Aptos" w:hAnsi="Aptos"/>
                <w:color w:val="1E2630"/>
                <w:sz w:val="17"/>
              </w:rPr>
              <w:t>Standard USB headset with microphone</w:t>
            </w:r>
          </w:p>
        </w:tc>
      </w:tr>
      <w:tr>
        <w:tc>
          <w:tcPr>
            <w:tcW w:type="dxa" w:w="2160"/>
            <w:vAlign w:val="center"/>
            <w:shd w:fill="F4F6F8"/>
            <w:tcMar>
              <w:top w:w="70" w:type="dxa"/>
              <w:start w:w="100" w:type="dxa"/>
              <w:bottom w:w="70" w:type="dxa"/>
              <w:end w:w="100" w:type="dxa"/>
            </w:tcMar>
          </w:tcPr>
          <w:p>
            <w:pPr>
              <w:spacing w:after="0"/>
            </w:pPr>
            <w:r>
              <w:rPr>
                <w:rFonts w:ascii="Aptos" w:hAnsi="Aptos"/>
                <w:color w:val="1E2630"/>
                <w:sz w:val="17"/>
              </w:rPr>
              <w:t>Power</w:t>
            </w:r>
          </w:p>
        </w:tc>
        <w:tc>
          <w:tcPr>
            <w:tcW w:type="dxa" w:w="7200"/>
            <w:vAlign w:val="center"/>
            <w:shd w:fill="F4F6F8"/>
            <w:tcMar>
              <w:top w:w="70" w:type="dxa"/>
              <w:start w:w="100" w:type="dxa"/>
              <w:bottom w:w="70" w:type="dxa"/>
              <w:end w:w="100" w:type="dxa"/>
            </w:tcMar>
          </w:tcPr>
          <w:p>
            <w:pPr>
              <w:spacing w:after="0"/>
            </w:pPr>
            <w:r>
              <w:rPr>
                <w:rFonts w:ascii="Aptos" w:hAnsi="Aptos"/>
                <w:color w:val="1E2630"/>
                <w:sz w:val="17"/>
              </w:rPr>
              <w:t>Powered USB 3.0 hub; do not run three receivers from a passive hub</w:t>
            </w:r>
          </w:p>
        </w:tc>
      </w:tr>
    </w:tbl>
    <w:p>
      <w:pPr>
        <w:spacing w:after="20"/>
      </w:pPr>
    </w:p>
    <w:p>
      <w:pPr>
        <w:pStyle w:val="Heading1"/>
      </w:pPr>
      <w:r>
        <w:t>3. Start the Software</w:t>
      </w:r>
    </w:p>
    <w:tbl>
      <w:tblPr>
        <w:tblW w:type="auto" w:w="0"/>
        <w:jc w:val="center"/>
        <w:tblLayout w:type="fixed"/>
        <w:tblLook w:firstColumn="1" w:firstRow="1" w:lastColumn="0" w:lastRow="0" w:noHBand="0" w:noVBand="1" w:val="04A0"/>
        <w:tblBorders>
          <w:top w:val="single" w:sz="6" w:space="0" w:color="23303A"/>
          <w:left w:val="single" w:sz="6" w:space="0" w:color="23303A"/>
          <w:bottom w:val="single" w:sz="6" w:space="0" w:color="23303A"/>
          <w:right w:val="single" w:sz="6" w:space="0" w:color="23303A"/>
          <w:insideH w:val="single" w:sz="6" w:space="0" w:color="23303A"/>
          <w:insideV w:val="single" w:sz="6" w:space="0" w:color="23303A"/>
        </w:tblBorders>
      </w:tblPr>
      <w:tblGrid>
        <w:gridCol w:w="5040"/>
        <w:gridCol w:w="5040"/>
      </w:tblGrid>
      <w:tr>
        <w:trPr>
          <w:tblHeader w:val="true"/>
        </w:trPr>
        <w:tc>
          <w:tcPr>
            <w:tcW w:type="dxa" w:w="2592"/>
            <w:vAlign w:val="center"/>
            <w:shd w:fill="0D141E"/>
            <w:tcMar>
              <w:top w:w="90" w:type="dxa"/>
              <w:start w:w="100" w:type="dxa"/>
              <w:bottom w:w="90" w:type="dxa"/>
              <w:end w:w="100" w:type="dxa"/>
            </w:tcMar>
          </w:tcPr>
          <w:p>
            <w:pPr>
              <w:spacing w:after="0"/>
            </w:pPr>
            <w:r>
              <w:rPr>
                <w:rFonts w:ascii="Aptos" w:hAnsi="Aptos"/>
                <w:b/>
                <w:color w:val="F0F2F4"/>
                <w:sz w:val="18"/>
              </w:rPr>
              <w:t>Mode</w:t>
            </w:r>
          </w:p>
        </w:tc>
        <w:tc>
          <w:tcPr>
            <w:tcW w:type="dxa" w:w="6768"/>
            <w:vAlign w:val="center"/>
            <w:shd w:fill="0D141E"/>
            <w:tcMar>
              <w:top w:w="90" w:type="dxa"/>
              <w:start w:w="100" w:type="dxa"/>
              <w:bottom w:w="90" w:type="dxa"/>
              <w:end w:w="100" w:type="dxa"/>
            </w:tcMar>
          </w:tcPr>
          <w:p>
            <w:pPr>
              <w:spacing w:after="0"/>
            </w:pPr>
            <w:r>
              <w:rPr>
                <w:rFonts w:ascii="Aptos" w:hAnsi="Aptos"/>
                <w:b/>
                <w:color w:val="F0F2F4"/>
                <w:sz w:val="18"/>
              </w:rPr>
              <w:t>Command</w:t>
            </w:r>
          </w:p>
        </w:tc>
      </w:tr>
      <w:tr>
        <w:tc>
          <w:tcPr>
            <w:tcW w:type="dxa" w:w="2592"/>
            <w:vAlign w:val="center"/>
            <w:shd w:fill="F4F6F8"/>
            <w:tcMar>
              <w:top w:w="70" w:type="dxa"/>
              <w:start w:w="100" w:type="dxa"/>
              <w:bottom w:w="70" w:type="dxa"/>
              <w:end w:w="100" w:type="dxa"/>
            </w:tcMar>
          </w:tcPr>
          <w:p>
            <w:pPr>
              <w:spacing w:after="0"/>
            </w:pPr>
            <w:r>
              <w:rPr>
                <w:rFonts w:ascii="Aptos" w:hAnsi="Aptos"/>
                <w:color w:val="1E2630"/>
                <w:sz w:val="17"/>
              </w:rPr>
              <w:t>Full desktop</w:t>
            </w:r>
          </w:p>
        </w:tc>
        <w:tc>
          <w:tcPr>
            <w:tcW w:type="dxa" w:w="6768"/>
            <w:vAlign w:val="center"/>
            <w:shd w:fill="F4F6F8"/>
            <w:tcMar>
              <w:top w:w="70" w:type="dxa"/>
              <w:start w:w="100" w:type="dxa"/>
              <w:bottom w:w="70" w:type="dxa"/>
              <w:end w:w="100" w:type="dxa"/>
            </w:tcMar>
          </w:tcPr>
          <w:p>
            <w:pPr>
              <w:spacing w:after="0"/>
            </w:pPr>
            <w:r>
              <w:rPr>
                <w:rFonts w:ascii="Aptos" w:hAnsi="Aptos"/>
                <w:color w:val="1E2630"/>
                <w:sz w:val="17"/>
              </w:rPr>
              <w:t>scripts/desktop.sh</w:t>
            </w:r>
          </w:p>
        </w:tc>
      </w:tr>
      <w:tr>
        <w:tc>
          <w:tcPr>
            <w:tcW w:type="dxa" w:w="2592"/>
            <w:vAlign w:val="center"/>
            <w:shd w:fill="FFFFFF"/>
            <w:tcMar>
              <w:top w:w="70" w:type="dxa"/>
              <w:start w:w="100" w:type="dxa"/>
              <w:bottom w:w="70" w:type="dxa"/>
              <w:end w:w="100" w:type="dxa"/>
            </w:tcMar>
          </w:tcPr>
          <w:p>
            <w:pPr>
              <w:spacing w:after="0"/>
            </w:pPr>
            <w:r>
              <w:rPr>
                <w:rFonts w:ascii="Aptos" w:hAnsi="Aptos"/>
                <w:color w:val="1E2630"/>
                <w:sz w:val="17"/>
              </w:rPr>
              <w:t>Browser preview</w:t>
            </w:r>
          </w:p>
        </w:tc>
        <w:tc>
          <w:tcPr>
            <w:tcW w:type="dxa" w:w="6768"/>
            <w:vAlign w:val="center"/>
            <w:shd w:fill="FFFFFF"/>
            <w:tcMar>
              <w:top w:w="70" w:type="dxa"/>
              <w:start w:w="100" w:type="dxa"/>
              <w:bottom w:w="70" w:type="dxa"/>
              <w:end w:w="100" w:type="dxa"/>
            </w:tcMar>
          </w:tcPr>
          <w:p>
            <w:pPr>
              <w:spacing w:after="0"/>
            </w:pPr>
            <w:r>
              <w:rPr>
                <w:rFonts w:ascii="Aptos" w:hAnsi="Aptos"/>
                <w:color w:val="1E2630"/>
                <w:sz w:val="17"/>
              </w:rPr>
              <w:t>npm run dev, then open http://localhost:1420/</w:t>
            </w:r>
          </w:p>
        </w:tc>
      </w:tr>
      <w:tr>
        <w:tc>
          <w:tcPr>
            <w:tcW w:type="dxa" w:w="2592"/>
            <w:vAlign w:val="center"/>
            <w:shd w:fill="F4F6F8"/>
            <w:tcMar>
              <w:top w:w="70" w:type="dxa"/>
              <w:start w:w="100" w:type="dxa"/>
              <w:bottom w:w="70" w:type="dxa"/>
              <w:end w:w="100" w:type="dxa"/>
            </w:tcMar>
          </w:tcPr>
          <w:p>
            <w:pPr>
              <w:spacing w:after="0"/>
            </w:pPr>
            <w:r>
              <w:rPr>
                <w:rFonts w:ascii="Aptos" w:hAnsi="Aptos"/>
                <w:color w:val="1E2630"/>
                <w:sz w:val="17"/>
              </w:rPr>
              <w:t>Operations display</w:t>
            </w:r>
          </w:p>
        </w:tc>
        <w:tc>
          <w:tcPr>
            <w:tcW w:type="dxa" w:w="6768"/>
            <w:vAlign w:val="center"/>
            <w:shd w:fill="F4F6F8"/>
            <w:tcMar>
              <w:top w:w="70" w:type="dxa"/>
              <w:start w:w="100" w:type="dxa"/>
              <w:bottom w:w="70" w:type="dxa"/>
              <w:end w:w="100" w:type="dxa"/>
            </w:tcMar>
          </w:tcPr>
          <w:p>
            <w:pPr>
              <w:spacing w:after="0"/>
            </w:pPr>
            <w:r>
              <w:rPr>
                <w:rFonts w:ascii="Aptos" w:hAnsi="Aptos"/>
                <w:color w:val="1E2630"/>
                <w:sz w:val="17"/>
              </w:rPr>
              <w:t>Open http://localhost:1420/hud.html or use the Operations Display button</w:t>
            </w:r>
          </w:p>
        </w:tc>
      </w:tr>
      <w:tr>
        <w:tc>
          <w:tcPr>
            <w:tcW w:type="dxa" w:w="2592"/>
            <w:vAlign w:val="center"/>
            <w:shd w:fill="FFFFFF"/>
            <w:tcMar>
              <w:top w:w="70" w:type="dxa"/>
              <w:start w:w="100" w:type="dxa"/>
              <w:bottom w:w="70" w:type="dxa"/>
              <w:end w:w="100" w:type="dxa"/>
            </w:tcMar>
          </w:tcPr>
          <w:p>
            <w:pPr>
              <w:spacing w:after="0"/>
            </w:pPr>
            <w:r>
              <w:rPr>
                <w:rFonts w:ascii="Aptos" w:hAnsi="Aptos"/>
                <w:color w:val="1E2630"/>
                <w:sz w:val="17"/>
              </w:rPr>
              <w:t>Headless</w:t>
            </w:r>
          </w:p>
        </w:tc>
        <w:tc>
          <w:tcPr>
            <w:tcW w:type="dxa" w:w="6768"/>
            <w:vAlign w:val="center"/>
            <w:shd w:fill="FFFFFF"/>
            <w:tcMar>
              <w:top w:w="70" w:type="dxa"/>
              <w:start w:w="100" w:type="dxa"/>
              <w:bottom w:w="70" w:type="dxa"/>
              <w:end w:w="100" w:type="dxa"/>
            </w:tcMar>
          </w:tcPr>
          <w:p>
            <w:pPr>
              <w:spacing w:after="0"/>
            </w:pPr>
            <w:r>
              <w:rPr>
                <w:rFonts w:ascii="Aptos" w:hAnsi="Aptos"/>
                <w:color w:val="1E2630"/>
                <w:sz w:val="17"/>
              </w:rPr>
              <w:t>cd src-tauri &amp;&amp; cargo run --no-default-features --bin aeropulse-headless</w:t>
            </w:r>
          </w:p>
        </w:tc>
      </w:tr>
      <w:tr>
        <w:tc>
          <w:tcPr>
            <w:tcW w:type="dxa" w:w="2592"/>
            <w:vAlign w:val="center"/>
            <w:shd w:fill="F4F6F8"/>
            <w:tcMar>
              <w:top w:w="70" w:type="dxa"/>
              <w:start w:w="100" w:type="dxa"/>
              <w:bottom w:w="70" w:type="dxa"/>
              <w:end w:w="100" w:type="dxa"/>
            </w:tcMar>
          </w:tcPr>
          <w:p>
            <w:pPr>
              <w:spacing w:after="0"/>
            </w:pPr>
            <w:r>
              <w:rPr>
                <w:rFonts w:ascii="Aptos" w:hAnsi="Aptos"/>
                <w:color w:val="1E2630"/>
                <w:sz w:val="17"/>
              </w:rPr>
              <w:t>Verification</w:t>
            </w:r>
          </w:p>
        </w:tc>
        <w:tc>
          <w:tcPr>
            <w:tcW w:type="dxa" w:w="6768"/>
            <w:vAlign w:val="center"/>
            <w:shd w:fill="F4F6F8"/>
            <w:tcMar>
              <w:top w:w="70" w:type="dxa"/>
              <w:start w:w="100" w:type="dxa"/>
              <w:bottom w:w="70" w:type="dxa"/>
              <w:end w:w="100" w:type="dxa"/>
            </w:tcMar>
          </w:tcPr>
          <w:p>
            <w:pPr>
              <w:spacing w:after="0"/>
            </w:pPr>
            <w:r>
              <w:rPr>
                <w:rFonts w:ascii="Aptos" w:hAnsi="Aptos"/>
                <w:color w:val="1E2630"/>
                <w:sz w:val="17"/>
              </w:rPr>
              <w:t>./scripts/verify.sh</w:t>
            </w:r>
          </w:p>
        </w:tc>
      </w:tr>
    </w:tbl>
    <w:p>
      <w:pPr>
        <w:spacing w:after="20"/>
      </w:pPr>
    </w:p>
    <w:p>
      <w:pPr>
        <w:pStyle w:val="Heading1"/>
      </w:pPr>
      <w:r>
        <w:t>4. Display 1 — Radar</w:t>
      </w:r>
    </w:p>
    <w:p>
      <w:r>
        <w:t>Select an aircraft by clicking its symbol. Use Measure Distance, click a start point and move the pointer; double-click clears the measurement. Use Operations Display to open the second window. The radar uses kilometre range rings, metre altitude and kilometre-per-hour speed presentation.</w:t>
      </w:r>
    </w:p>
    <w:p>
      <w:pPr>
        <w:pStyle w:val="Heading1"/>
      </w:pPr>
      <w:r>
        <w:t>5. Display 2 — Operations Workspace</w:t>
      </w:r>
    </w:p>
    <w:p>
      <w:r>
        <w:t>On a small screen the navigation bar switches between complete sections: Flight Strips, Aircraft, Weather, Alerts, Audio and System. Only the selected section is displayed in compact mode, preventing one card from covering another. Each section has its own scroll area where required.</w:t>
      </w:r>
    </w:p>
    <w:p>
      <w:pPr>
        <w:pStyle w:val="Heading1"/>
      </w:pPr>
      <w:r>
        <w:t>6. Aircraft Details and Audio</w:t>
      </w:r>
    </w:p>
    <w:p>
      <w:r>
        <w:t>Select a flight strip or radar contact to open its individual details. The detail view shows identification, position, altitude, speed, heading, vertical rate, accuracy and tracking state. The Transmit to aircraft action tunes the audio panel to the assigned prototype channel; it does not bypass the transmission safety interlock.</w:t>
      </w:r>
    </w:p>
    <w:p>
      <w:pPr>
        <w:pStyle w:val="Heading1"/>
      </w:pPr>
      <w:r>
        <w:t>7. Safety Rules</w:t>
      </w:r>
    </w:p>
    <w:p>
      <w:pPr>
        <w:pStyle w:val="ListBullet"/>
        <w:spacing w:after="60"/>
      </w:pPr>
      <w:r>
        <w:t>Treat all simulated values as test data until independently verified against a known source.</w:t>
      </w:r>
    </w:p>
    <w:p>
      <w:pPr>
        <w:pStyle w:val="ListBullet"/>
        <w:spacing w:after="60"/>
      </w:pPr>
      <w:r>
        <w:t>Receive-only testing is the default and requires no transmitter.</w:t>
      </w:r>
    </w:p>
    <w:p>
      <w:pPr>
        <w:pStyle w:val="ListBullet"/>
        <w:spacing w:after="60"/>
      </w:pPr>
      <w:r>
        <w:t>Never connect a transmitter to an antenna or radiate on an aviation frequency without the required Nigerian authorisation and a controlled test plan.</w:t>
      </w:r>
    </w:p>
    <w:p>
      <w:pPr>
        <w:pStyle w:val="ListBullet"/>
        <w:spacing w:after="60"/>
      </w:pPr>
      <w:r>
        <w:t>The software uses hold-to-talk, frequency validation, emergency inhibition and a 30-second transmission timeout; these are safeguards, not regulatory approval.</w:t>
      </w:r>
    </w:p>
    <w:p>
      <w:pPr>
        <w:pStyle w:val="Heading1"/>
      </w:pPr>
      <w:r>
        <w:t>8. Troubleshooting</w:t>
      </w:r>
    </w:p>
    <w:tbl>
      <w:tblPr>
        <w:tblW w:type="auto" w:w="0"/>
        <w:jc w:val="center"/>
        <w:tblLayout w:type="fixed"/>
        <w:tblLook w:firstColumn="1" w:firstRow="1" w:lastColumn="0" w:lastRow="0" w:noHBand="0" w:noVBand="1" w:val="04A0"/>
        <w:tblBorders>
          <w:top w:val="single" w:sz="6" w:space="0" w:color="23303A"/>
          <w:left w:val="single" w:sz="6" w:space="0" w:color="23303A"/>
          <w:bottom w:val="single" w:sz="6" w:space="0" w:color="23303A"/>
          <w:right w:val="single" w:sz="6" w:space="0" w:color="23303A"/>
          <w:insideH w:val="single" w:sz="6" w:space="0" w:color="23303A"/>
          <w:insideV w:val="single" w:sz="6" w:space="0" w:color="23303A"/>
        </w:tblBorders>
      </w:tblPr>
      <w:tblGrid>
        <w:gridCol w:w="5040"/>
        <w:gridCol w:w="5040"/>
      </w:tblGrid>
      <w:tr>
        <w:trPr>
          <w:tblHeader w:val="true"/>
        </w:trPr>
        <w:tc>
          <w:tcPr>
            <w:tcW w:type="dxa" w:w="2592"/>
            <w:vAlign w:val="center"/>
            <w:shd w:fill="0D141E"/>
            <w:tcMar>
              <w:top w:w="90" w:type="dxa"/>
              <w:start w:w="100" w:type="dxa"/>
              <w:bottom w:w="90" w:type="dxa"/>
              <w:end w:w="100" w:type="dxa"/>
            </w:tcMar>
          </w:tcPr>
          <w:p>
            <w:pPr>
              <w:spacing w:after="0"/>
            </w:pPr>
            <w:r>
              <w:rPr>
                <w:rFonts w:ascii="Aptos" w:hAnsi="Aptos"/>
                <w:b/>
                <w:color w:val="F0F2F4"/>
                <w:sz w:val="18"/>
              </w:rPr>
              <w:t>Symptom</w:t>
            </w:r>
          </w:p>
        </w:tc>
        <w:tc>
          <w:tcPr>
            <w:tcW w:type="dxa" w:w="6768"/>
            <w:vAlign w:val="center"/>
            <w:shd w:fill="0D141E"/>
            <w:tcMar>
              <w:top w:w="90" w:type="dxa"/>
              <w:start w:w="100" w:type="dxa"/>
              <w:bottom w:w="90" w:type="dxa"/>
              <w:end w:w="100" w:type="dxa"/>
            </w:tcMar>
          </w:tcPr>
          <w:p>
            <w:pPr>
              <w:spacing w:after="0"/>
            </w:pPr>
            <w:r>
              <w:rPr>
                <w:rFonts w:ascii="Aptos" w:hAnsi="Aptos"/>
                <w:b/>
                <w:color w:val="F0F2F4"/>
                <w:sz w:val="18"/>
              </w:rPr>
              <w:t>Action</w:t>
            </w:r>
          </w:p>
        </w:tc>
      </w:tr>
      <w:tr>
        <w:tc>
          <w:tcPr>
            <w:tcW w:type="dxa" w:w="2592"/>
            <w:vAlign w:val="center"/>
            <w:shd w:fill="F4F6F8"/>
            <w:tcMar>
              <w:top w:w="70" w:type="dxa"/>
              <w:start w:w="100" w:type="dxa"/>
              <w:bottom w:w="70" w:type="dxa"/>
              <w:end w:w="100" w:type="dxa"/>
            </w:tcMar>
          </w:tcPr>
          <w:p>
            <w:pPr>
              <w:spacing w:after="0"/>
            </w:pPr>
            <w:r>
              <w:rPr>
                <w:rFonts w:ascii="Aptos" w:hAnsi="Aptos"/>
                <w:color w:val="1E2630"/>
                <w:sz w:val="17"/>
              </w:rPr>
              <w:t>Upper-air table blank</w:t>
            </w:r>
          </w:p>
        </w:tc>
        <w:tc>
          <w:tcPr>
            <w:tcW w:type="dxa" w:w="6768"/>
            <w:vAlign w:val="center"/>
            <w:shd w:fill="F4F6F8"/>
            <w:tcMar>
              <w:top w:w="70" w:type="dxa"/>
              <w:start w:w="100" w:type="dxa"/>
              <w:bottom w:w="70" w:type="dxa"/>
              <w:end w:w="100" w:type="dxa"/>
            </w:tcMar>
          </w:tcPr>
          <w:p>
            <w:pPr>
              <w:spacing w:after="0"/>
            </w:pPr>
            <w:r>
              <w:rPr>
                <w:rFonts w:ascii="Aptos" w:hAnsi="Aptos"/>
                <w:color w:val="1E2630"/>
                <w:sz w:val="17"/>
              </w:rPr>
              <w:t>Select Weather in the compact navigation. If no reports have arrived, the panel shows aircraft estimates or an explicit waiting state.</w:t>
            </w:r>
          </w:p>
        </w:tc>
      </w:tr>
      <w:tr>
        <w:tc>
          <w:tcPr>
            <w:tcW w:type="dxa" w:w="2592"/>
            <w:vAlign w:val="center"/>
            <w:shd w:fill="FFFFFF"/>
            <w:tcMar>
              <w:top w:w="70" w:type="dxa"/>
              <w:start w:w="100" w:type="dxa"/>
              <w:bottom w:w="70" w:type="dxa"/>
              <w:end w:w="100" w:type="dxa"/>
            </w:tcMar>
          </w:tcPr>
          <w:p>
            <w:pPr>
              <w:spacing w:after="0"/>
            </w:pPr>
            <w:r>
              <w:rPr>
                <w:rFonts w:ascii="Aptos" w:hAnsi="Aptos"/>
                <w:color w:val="1E2630"/>
                <w:sz w:val="17"/>
              </w:rPr>
              <w:t>Flight strip missing</w:t>
            </w:r>
          </w:p>
        </w:tc>
        <w:tc>
          <w:tcPr>
            <w:tcW w:type="dxa" w:w="6768"/>
            <w:vAlign w:val="center"/>
            <w:shd w:fill="FFFFFF"/>
            <w:tcMar>
              <w:top w:w="70" w:type="dxa"/>
              <w:start w:w="100" w:type="dxa"/>
              <w:bottom w:w="70" w:type="dxa"/>
              <w:end w:w="100" w:type="dxa"/>
            </w:tcMar>
          </w:tcPr>
          <w:p>
            <w:pPr>
              <w:spacing w:after="0"/>
            </w:pPr>
            <w:r>
              <w:rPr>
                <w:rFonts w:ascii="Aptos" w:hAnsi="Aptos"/>
                <w:color w:val="1E2630"/>
                <w:sz w:val="17"/>
              </w:rPr>
              <w:t>Select Flight Strips and scroll inside the strip list; the list is independent of the page.</w:t>
            </w:r>
          </w:p>
        </w:tc>
      </w:tr>
      <w:tr>
        <w:tc>
          <w:tcPr>
            <w:tcW w:type="dxa" w:w="2592"/>
            <w:vAlign w:val="center"/>
            <w:shd w:fill="F4F6F8"/>
            <w:tcMar>
              <w:top w:w="70" w:type="dxa"/>
              <w:start w:w="100" w:type="dxa"/>
              <w:bottom w:w="70" w:type="dxa"/>
              <w:end w:w="100" w:type="dxa"/>
            </w:tcMar>
          </w:tcPr>
          <w:p>
            <w:pPr>
              <w:spacing w:after="0"/>
            </w:pPr>
            <w:r>
              <w:rPr>
                <w:rFonts w:ascii="Aptos" w:hAnsi="Aptos"/>
                <w:color w:val="1E2630"/>
                <w:sz w:val="17"/>
              </w:rPr>
              <w:t>Audio output missing</w:t>
            </w:r>
          </w:p>
        </w:tc>
        <w:tc>
          <w:tcPr>
            <w:tcW w:type="dxa" w:w="6768"/>
            <w:vAlign w:val="center"/>
            <w:shd w:fill="F4F6F8"/>
            <w:tcMar>
              <w:top w:w="70" w:type="dxa"/>
              <w:start w:w="100" w:type="dxa"/>
              <w:bottom w:w="70" w:type="dxa"/>
              <w:end w:w="100" w:type="dxa"/>
            </w:tcMar>
          </w:tcPr>
          <w:p>
            <w:pPr>
              <w:spacing w:after="0"/>
            </w:pPr>
            <w:r>
              <w:rPr>
                <w:rFonts w:ascii="Aptos" w:hAnsi="Aptos"/>
                <w:color w:val="1E2630"/>
                <w:sz w:val="17"/>
              </w:rPr>
              <w:t>Allow microphone permission, reconnect the USB headset and choose Primary Output again.</w:t>
            </w:r>
          </w:p>
        </w:tc>
      </w:tr>
      <w:tr>
        <w:tc>
          <w:tcPr>
            <w:tcW w:type="dxa" w:w="2592"/>
            <w:vAlign w:val="center"/>
            <w:shd w:fill="FFFFFF"/>
            <w:tcMar>
              <w:top w:w="70" w:type="dxa"/>
              <w:start w:w="100" w:type="dxa"/>
              <w:bottom w:w="70" w:type="dxa"/>
              <w:end w:w="100" w:type="dxa"/>
            </w:tcMar>
          </w:tcPr>
          <w:p>
            <w:pPr>
              <w:spacing w:after="0"/>
            </w:pPr>
            <w:r>
              <w:rPr>
                <w:rFonts w:ascii="Aptos" w:hAnsi="Aptos"/>
                <w:color w:val="1E2630"/>
                <w:sz w:val="17"/>
              </w:rPr>
              <w:t>Desktop shell will not build</w:t>
            </w:r>
          </w:p>
        </w:tc>
        <w:tc>
          <w:tcPr>
            <w:tcW w:type="dxa" w:w="6768"/>
            <w:vAlign w:val="center"/>
            <w:shd w:fill="FFFFFF"/>
            <w:tcMar>
              <w:top w:w="70" w:type="dxa"/>
              <w:start w:w="100" w:type="dxa"/>
              <w:bottom w:w="70" w:type="dxa"/>
              <w:end w:w="100" w:type="dxa"/>
            </w:tcMar>
          </w:tcPr>
          <w:p>
            <w:pPr>
              <w:spacing w:after="0"/>
            </w:pPr>
            <w:r>
              <w:rPr>
                <w:rFonts w:ascii="Aptos" w:hAnsi="Aptos"/>
                <w:color w:val="1E2630"/>
                <w:sz w:val="17"/>
              </w:rPr>
              <w:t>Install webkit2gtk-4.1 and libsoup-3.0 development packages or source scripts/webkit-env.sh.</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07C"/>
        <w:sz w:val="16"/>
      </w:rPr>
      <w:t>AeroPulse-NG v2.4  |  Prototype documentation  |  Verify all operational claims before deployment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07C"/>
        <w:sz w:val="16"/>
      </w:rPr>
      <w:t>AeroPulse-NG  |  AeroPulse-NG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41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5B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B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41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