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  <w:jc w:val="center"/>
      </w:pPr>
      <w:r>
        <w:rPr>
          <w:b/>
          <w:bCs/>
          <w:color w:val="4A3580"/>
          <w:sz w:val="44"/>
          <w:szCs w:val="44"/>
        </w:rPr>
        <w:t xml:space="preserve">DÉTAIL DES ÉNIGMES</w:t>
      </w:r>
    </w:p>
    <w:p>
      <w:pPr>
        <w:spacing w:after="100"/>
        <w:jc w:val="center"/>
      </w:pPr>
      <w:r>
        <w:rPr>
          <w:i/>
          <w:iCs/>
          <w:sz w:val="22"/>
          <w:szCs w:val="22"/>
        </w:rPr>
        <w:t xml:space="preserve">Station relais Kessel-Tho — à l'usage du Maître de Jeu</w:t>
      </w:r>
    </w:p>
    <w:p>
      <w:pPr>
        <w:spacing w:after="400"/>
        <w:jc w:val="center"/>
      </w:pPr>
      <w:r>
        <w:rPr>
          <w:color w:val="444444"/>
          <w:sz w:val="18"/>
          <w:szCs w:val="18"/>
        </w:rPr>
        <w:t xml:space="preserve">Ce document détaille chaque énigme avec ses handouts, ses solutions et ses notes d'animation.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500"/>
        <w:gridCol w:w="2600"/>
      </w:tblGrid>
      <w:tr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0DDEF" w:val="clea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Indice</w:t>
            </w:r>
          </w:p>
        </w:tc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0DDEF" w:val="clea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Lieu</w:t>
            </w:r>
          </w:p>
        </w:tc>
        <w:tc>
          <w:tcPr>
            <w:tcW w:type="dxa" w:w="2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0DDEF" w:val="clea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Mécanisme</w:t>
            </w:r>
          </w:p>
        </w:tc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0DDEF" w:val="clea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Résultat</w:t>
            </w:r>
          </w:p>
        </w:tc>
      </w:tr>
      <w:tr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(a) Faux clients</w:t>
            </w:r>
          </w:p>
        </w:tc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Centre culturel</w:t>
            </w:r>
          </w:p>
        </w:tc>
        <w:tc>
          <w:tcPr>
            <w:tcW w:type="dxa" w:w="2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Noms alderaaniens dans un livre</w:t>
            </w:r>
          </w:p>
        </w:tc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Identifie 18 entrées sur 78</w:t>
            </w:r>
          </w:p>
        </w:tc>
      </w:tr>
      <w:tr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(b) Clé coordonnées</w:t>
            </w:r>
          </w:p>
        </w:tc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Galerie de maintenance</w:t>
            </w:r>
          </w:p>
        </w:tc>
        <w:tc>
          <w:tcPr>
            <w:tcW w:type="dxa" w:w="2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Fresque steganographique + Polybe</w:t>
            </w:r>
          </w:p>
        </w:tc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Phrase : ORPHELINS</w:t>
            </w:r>
          </w:p>
        </w:tc>
      </w:tr>
      <w:tr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(c) Clé messages</w:t>
            </w:r>
          </w:p>
        </w:tc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Centre sportif</w:t>
            </w:r>
          </w:p>
        </w:tc>
        <w:tc>
          <w:tcPr>
            <w:tcW w:type="dxa" w:w="2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Puzzle pentaminos</w:t>
            </w:r>
          </w:p>
        </w:tc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Phrase : JENESUISPLUSSEULEICI</w:t>
            </w:r>
          </w:p>
        </w:tc>
      </w:tr>
      <w:tr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(d) Algorithme + passphrase</w:t>
            </w:r>
          </w:p>
        </w:tc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Mess du personnel</w:t>
            </w:r>
          </w:p>
        </w:tc>
        <w:tc>
          <w:tcPr>
            <w:tcW w:type="dxa" w:w="2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6 annonces en 3 paires</w:t>
            </w:r>
          </w:p>
        </w:tc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Argon2 + RépubliqueRetour</w:t>
            </w:r>
          </w:p>
        </w:tc>
      </w:tr>
    </w:tbl>
    <w:p>
      <w:pPr>
        <w:pStyle w:val="Heading1"/>
        <w:pBdr>
          <w:bottom w:val="single" w:color="4A3580" w:sz="6"/>
        </w:pBdr>
        <w:spacing w:after="200" w:before="400"/>
      </w:pPr>
      <w:r>
        <w:rPr>
          <w:b/>
          <w:bCs/>
          <w:color w:val="4A3580"/>
        </w:rPr>
        <w:t xml:space="preserve">INDICE (a) — LES FAUX CLIENTS</w:t>
      </w:r>
    </w:p>
    <w:p>
      <w:pPr>
        <w:pStyle w:val="Heading2"/>
        <w:spacing w:after="120" w:before="280"/>
      </w:pPr>
      <w:r>
        <w:rPr>
          <w:b/>
          <w:bCs/>
          <w:color w:val="444444"/>
          <w:sz w:val="23"/>
          <w:szCs w:val="23"/>
        </w:rPr>
        <w:t xml:space="preserve">Contexte</w:t>
      </w:r>
    </w:p>
    <w:p>
      <w:pPr>
        <w:spacing w:after="140"/>
      </w:pPr>
      <w:r>
        <w:rPr>
          <w:rFonts w:ascii="Calibri" w:cs="Calibri" w:eastAsia="Calibri" w:hAnsi="Calibri"/>
          <w:sz w:val="19"/>
          <w:szCs w:val="19"/>
        </w:rPr>
        <w:t xml:space="preserve">Tana a emprunté à la bibliothèque « Histoire d'Alderaan des origines à la Haute République » et glissé entre ses pages une liste manuscrite de noms. Ces noms sont ses trois alias dans le journal — des figures secondaires alderaaniennes suffisamment connues des passionnés d'histoire républicaine pour être vérifiables, mais assez obscures pour ne pas être immédiatement reconnues.</w:t>
      </w:r>
    </w:p>
    <w:p>
      <w:pPr>
        <w:pStyle w:val="Heading2"/>
        <w:spacing w:after="120" w:before="280"/>
      </w:pPr>
      <w:r>
        <w:rPr>
          <w:b/>
          <w:bCs/>
          <w:color w:val="444444"/>
          <w:sz w:val="23"/>
          <w:szCs w:val="23"/>
        </w:rPr>
        <w:t xml:space="preserve">Les trois noms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300"/>
      </w:tblGrid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0DDEF" w:val="clea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Alias dans le journal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0DDEF" w:val="clea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Profil canonique</w:t>
            </w:r>
          </w:p>
        </w:tc>
        <w:tc>
          <w:tcPr>
            <w:tcW w:type="dxa" w:w="4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0DDEF" w:val="clea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Note manuscrite de Tana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Ulic Qel-Droma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Chevalier Jedi alderaanien (ère ancienne)</w:t>
            </w:r>
          </w:p>
        </w:tc>
        <w:tc>
          <w:tcPr>
            <w:tcW w:type="dxa" w:w="4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« Compétences tactiques — à ne pas oublier »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Liana Merian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Figure politique alderaanienne</w:t>
            </w:r>
          </w:p>
        </w:tc>
        <w:tc>
          <w:tcPr>
            <w:tcW w:type="dxa" w:w="4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« Contact de confiance — discrétion assurée »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Agrippa Aldrete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Personnalité politique, base Republic</w:t>
            </w:r>
          </w:p>
        </w:tc>
        <w:tc>
          <w:tcPr>
            <w:tcW w:type="dxa" w:w="4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« Vieux réseau — toujours fiable »</w:t>
            </w:r>
          </w:p>
        </w:tc>
      </w:tr>
    </w:tbl>
    <w:p>
      <w:pPr>
        <w:pBdr>
          <w:left w:val="single" w:color="4A3580" w:sz="6"/>
        </w:pBdr>
        <w:spacing w:after="140"/>
        <w:ind w:left="300"/>
      </w:pP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Ces notes font semblant d'être des annotations de lecture — la clé pour les PJ est de comprendre que ce sont des noms de personnes réelles de l'histoire alderaanienne, pas des personnages inventés.</w:t>
      </w:r>
    </w:p>
    <w:p>
      <w:pPr>
        <w:pStyle w:val="Heading2"/>
        <w:spacing w:after="120" w:before="280"/>
      </w:pPr>
      <w:r>
        <w:rPr>
          <w:b/>
          <w:bCs/>
          <w:color w:val="444444"/>
          <w:sz w:val="23"/>
          <w:szCs w:val="23"/>
        </w:rPr>
        <w:t xml:space="preserve">Animation</w:t>
      </w:r>
    </w:p>
    <w:p>
      <w:pPr>
        <w:spacing w:after="70"/>
        <w:ind w:left="300"/>
      </w:pPr>
      <w:r>
        <w:rPr>
          <w:rFonts w:ascii="Calibri" w:cs="Calibri" w:eastAsia="Calibri" w:hAnsi="Calibri"/>
          <w:sz w:val="19"/>
          <w:szCs w:val="19"/>
        </w:rPr>
        <w:t xml:space="preserve">–  Maren Estil confirme l'emprunt sans hésiter si les PJ montrent le datapad (0).</w:t>
      </w:r>
    </w:p>
    <w:p>
      <w:pPr>
        <w:spacing w:after="70"/>
        <w:ind w:left="300"/>
      </w:pPr>
      <w:r>
        <w:rPr>
          <w:rFonts w:ascii="Calibri" w:cs="Calibri" w:eastAsia="Calibri" w:hAnsi="Calibri"/>
          <w:sz w:val="19"/>
          <w:szCs w:val="19"/>
        </w:rPr>
        <w:t xml:space="preserve">–  Le livre est toujours dans le rayon (Tana ne l'a pas rendu). Elle ne sait pas ce que signifient les annotations.</w:t>
      </w:r>
    </w:p>
    <w:p>
      <w:pPr>
        <w:pBdr>
          <w:top w:val="single" w:color="7A4800" w:sz="4"/>
          <w:bottom w:val="single" w:color="7A4800" w:sz="4"/>
          <w:left w:val="single" w:color="7A4800" w:sz="12"/>
          <w:right w:val="single" w:color="7A4800" w:sz="4"/>
        </w:pBdr>
        <w:spacing w:after="160" w:before="120"/>
        <w:ind w:left="200" w:right="200"/>
      </w:pPr>
      <w:r>
        <w:rPr>
          <w:rFonts w:ascii="Calibri" w:cs="Calibri" w:eastAsia="Calibri" w:hAnsi="Calibri"/>
          <w:color w:val="7A4800"/>
          <w:sz w:val="18"/>
          <w:szCs w:val="18"/>
        </w:rPr>
        <w:t xml:space="preserve">Sans (a) : les PJ doivent extraire les 78 lignes du journal en entier (1h de transfert) et trier manuellement pour trouver les 18 entrées de Tana.</w:t>
      </w:r>
    </w:p>
    <w:p>
      <w:pPr>
        <w:pStyle w:val="Heading1"/>
        <w:pBdr>
          <w:bottom w:val="single" w:color="4A3580" w:sz="6"/>
        </w:pBdr>
        <w:spacing w:after="200" w:before="400"/>
      </w:pPr>
      <w:r>
        <w:rPr>
          <w:b/>
          <w:bCs/>
          <w:color w:val="4A3580"/>
        </w:rPr>
        <w:t xml:space="preserve">INDICE (b) — LA FRESQUE STEGANOGRAPHIQUE</w:t>
      </w:r>
    </w:p>
    <w:p>
      <w:pPr>
        <w:pStyle w:val="Heading2"/>
        <w:spacing w:after="120" w:before="280"/>
      </w:pPr>
      <w:r>
        <w:rPr>
          <w:b/>
          <w:bCs/>
          <w:color w:val="444444"/>
          <w:sz w:val="23"/>
          <w:szCs w:val="23"/>
        </w:rPr>
        <w:t xml:space="preserve">La fresque</w:t>
      </w:r>
    </w:p>
    <w:p>
      <w:pPr>
        <w:spacing w:after="140"/>
      </w:pPr>
      <w:r>
        <w:rPr>
          <w:rFonts w:ascii="Calibri" w:cs="Calibri" w:eastAsia="Calibri" w:hAnsi="Calibri"/>
          <w:sz w:val="19"/>
          <w:szCs w:val="19"/>
        </w:rPr>
        <w:t xml:space="preserve">Dans la galerie de maintenance (Niveau 0), Tana a peint les jardins du palais du Vice-roi d'Alderaan. La fresque comporte deux éléments codés :</w:t>
      </w:r>
    </w:p>
    <w:p>
      <w:pPr>
        <w:spacing w:after="70"/>
        <w:ind w:left="300"/>
      </w:pPr>
      <w:r>
        <w:rPr>
          <w:rFonts w:ascii="Calibri" w:cs="Calibri" w:eastAsia="Calibri" w:hAnsi="Calibri"/>
          <w:sz w:val="19"/>
          <w:szCs w:val="19"/>
        </w:rPr>
        <w:t xml:space="preserve">–  La façade du palais — 4 étages × 5 fenêtres. Neuf fenêtres sont allumées selon un dégradé de teinte, du plus pâle au plus sombre.</w:t>
      </w:r>
    </w:p>
    <w:p>
      <w:pPr>
        <w:spacing w:after="70"/>
        <w:ind w:left="300"/>
      </w:pPr>
      <w:r>
        <w:rPr>
          <w:rFonts w:ascii="Calibri" w:cs="Calibri" w:eastAsia="Calibri" w:hAnsi="Calibri"/>
          <w:sz w:val="19"/>
          <w:szCs w:val="19"/>
        </w:rPr>
        <w:t xml:space="preserve">–  Un graffiti séparé dans le couloir — une grille 4×5 de lettres peintes à la bombe, qui constitue la légende (le carré de Polybe).</w:t>
      </w:r>
    </w:p>
    <w:p>
      <w:pPr>
        <w:pStyle w:val="Heading2"/>
        <w:spacing w:after="120" w:before="280"/>
      </w:pPr>
      <w:r>
        <w:rPr>
          <w:b/>
          <w:bCs/>
          <w:color w:val="444444"/>
          <w:sz w:val="23"/>
          <w:szCs w:val="23"/>
        </w:rPr>
        <w:t xml:space="preserve">La légende — carré de Polybe à mot-clé LOTUS</w:t>
      </w:r>
    </w:p>
    <w:p>
      <w:pPr>
        <w:spacing w:after="120"/>
      </w:pPr>
      <w:r>
        <w:rPr>
          <w:i/>
          <w:iCs/>
          <w:color w:val="666666"/>
          <w:sz w:val="21"/>
          <w:szCs w:val="21"/>
        </w:rPr>
        <w:t xml:space="preserve">Grille non reproduite ici — voir l’image du graffiti-grille (handout séparé, fourni avec la photo de la fresque).</w:t>
      </w:r>
    </w:p>
    <w:p>
      <w:pPr>
        <w:pStyle w:val="Heading2"/>
        <w:spacing w:after="120" w:before="280"/>
      </w:pPr>
      <w:r>
        <w:rPr>
          <w:b/>
          <w:bCs/>
          <w:color w:val="444444"/>
          <w:sz w:val="23"/>
          <w:szCs w:val="23"/>
        </w:rPr>
        <w:t xml:space="preserve">Ordre de lecture des neuf fenêtres (du plus pâle au plus sombre)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1900"/>
        <w:gridCol w:w="2000"/>
        <w:gridCol w:w="2900"/>
      </w:tblGrid>
      <w:tr>
        <w:tc>
          <w:tcPr>
            <w:tcW w:type="dxa" w:w="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0DDEF" w:val="clea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Ordre</w:t>
            </w:r>
          </w:p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0DDEF" w:val="clea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Teinte</w:t>
            </w:r>
          </w:p>
        </w:tc>
        <w:tc>
          <w:tcPr>
            <w:tcW w:type="dxa" w:w="1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0DDEF" w:val="clea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Fenêtre (rang, col)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0DDEF" w:val="clea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Polybe</w:t>
            </w:r>
          </w:p>
        </w:tc>
        <w:tc>
          <w:tcPr>
            <w:tcW w:type="dxa" w:w="2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0DDEF" w:val="clea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Lettre</w:t>
            </w:r>
          </w:p>
        </w:tc>
      </w:tr>
      <w:tr>
        <w:tc>
          <w:tcPr>
            <w:tcW w:type="dxa" w:w="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1</w:t>
            </w:r>
          </w:p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Doré très pâle</w:t>
            </w:r>
          </w:p>
        </w:tc>
        <w:tc>
          <w:tcPr>
            <w:tcW w:type="dxa" w:w="1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(2,1)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(2,1)</w:t>
            </w:r>
          </w:p>
        </w:tc>
        <w:tc>
          <w:tcPr>
            <w:tcW w:type="dxa" w:w="2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</w:t>
            </w:r>
          </w:p>
        </w:tc>
      </w:tr>
      <w:tr>
        <w:tc>
          <w:tcPr>
            <w:tcW w:type="dxa" w:w="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2</w:t>
            </w:r>
          </w:p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Doré pâle</w:t>
            </w:r>
          </w:p>
        </w:tc>
        <w:tc>
          <w:tcPr>
            <w:tcW w:type="dxa" w:w="1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(3,2)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(3,2)</w:t>
            </w:r>
          </w:p>
        </w:tc>
        <w:tc>
          <w:tcPr>
            <w:tcW w:type="dxa" w:w="2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</w:t>
            </w:r>
          </w:p>
        </w:tc>
      </w:tr>
      <w:tr>
        <w:tc>
          <w:tcPr>
            <w:tcW w:type="dxa" w:w="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3</w:t>
            </w:r>
          </w:p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Doré chaud</w:t>
            </w:r>
          </w:p>
        </w:tc>
        <w:tc>
          <w:tcPr>
            <w:tcW w:type="dxa" w:w="1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(4,4)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(4,4)</w:t>
            </w:r>
          </w:p>
        </w:tc>
        <w:tc>
          <w:tcPr>
            <w:tcW w:type="dxa" w:w="2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</w:t>
            </w:r>
          </w:p>
        </w:tc>
      </w:tr>
      <w:tr>
        <w:tc>
          <w:tcPr>
            <w:tcW w:type="dxa" w:w="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4</w:t>
            </w:r>
          </w:p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Doré chaud</w:t>
            </w:r>
          </w:p>
        </w:tc>
        <w:tc>
          <w:tcPr>
            <w:tcW w:type="dxa" w:w="1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(1,5)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(1,5)</w:t>
            </w:r>
          </w:p>
        </w:tc>
        <w:tc>
          <w:tcPr>
            <w:tcW w:type="dxa" w:w="2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H</w:t>
            </w:r>
          </w:p>
        </w:tc>
      </w:tr>
      <w:tr>
        <w:tc>
          <w:tcPr>
            <w:tcW w:type="dxa" w:w="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5</w:t>
            </w:r>
          </w:p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Doré moyen</w:t>
            </w:r>
          </w:p>
        </w:tc>
        <w:tc>
          <w:tcPr>
            <w:tcW w:type="dxa" w:w="1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(1,3)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(1,3)</w:t>
            </w:r>
          </w:p>
        </w:tc>
        <w:tc>
          <w:tcPr>
            <w:tcW w:type="dxa" w:w="2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</w:t>
            </w:r>
          </w:p>
        </w:tc>
      </w:tr>
      <w:tr>
        <w:tc>
          <w:tcPr>
            <w:tcW w:type="dxa" w:w="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6</w:t>
            </w:r>
          </w:p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Doré moyen</w:t>
            </w:r>
          </w:p>
        </w:tc>
        <w:tc>
          <w:tcPr>
            <w:tcW w:type="dxa" w:w="1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(3,5)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(3,5)</w:t>
            </w:r>
          </w:p>
        </w:tc>
        <w:tc>
          <w:tcPr>
            <w:tcW w:type="dxa" w:w="2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L</w:t>
            </w:r>
          </w:p>
        </w:tc>
      </w:tr>
      <w:tr>
        <w:tc>
          <w:tcPr>
            <w:tcW w:type="dxa" w:w="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7</w:t>
            </w:r>
          </w:p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Rouge-orangé</w:t>
            </w:r>
          </w:p>
        </w:tc>
        <w:tc>
          <w:tcPr>
            <w:tcW w:type="dxa" w:w="1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(2,3)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(2,3)</w:t>
            </w:r>
          </w:p>
        </w:tc>
        <w:tc>
          <w:tcPr>
            <w:tcW w:type="dxa" w:w="2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</w:t>
            </w:r>
          </w:p>
        </w:tc>
      </w:tr>
      <w:tr>
        <w:tc>
          <w:tcPr>
            <w:tcW w:type="dxa" w:w="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8</w:t>
            </w:r>
          </w:p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Rouge-orangé profond</w:t>
            </w:r>
          </w:p>
        </w:tc>
        <w:tc>
          <w:tcPr>
            <w:tcW w:type="dxa" w:w="1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(3,4)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(3,4)</w:t>
            </w:r>
          </w:p>
        </w:tc>
        <w:tc>
          <w:tcPr>
            <w:tcW w:type="dxa" w:w="2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</w:t>
            </w:r>
          </w:p>
        </w:tc>
      </w:tr>
      <w:tr>
        <w:tc>
          <w:tcPr>
            <w:tcW w:type="dxa" w:w="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9</w:t>
            </w:r>
          </w:p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Rouge très sombre</w:t>
            </w:r>
          </w:p>
        </w:tc>
        <w:tc>
          <w:tcPr>
            <w:tcW w:type="dxa" w:w="1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(4,5)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(4,5)</w:t>
            </w:r>
          </w:p>
        </w:tc>
        <w:tc>
          <w:tcPr>
            <w:tcW w:type="dxa" w:w="2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</w:t>
            </w:r>
          </w:p>
        </w:tc>
      </w:tr>
    </w:tbl>
    <w:p>
      <w:pPr>
        <w:pBdr>
          <w:top w:val="single" w:color="1A5C2A" w:sz="4"/>
          <w:bottom w:val="single" w:color="1A5C2A" w:sz="4"/>
          <w:left w:val="single" w:color="1A5C2A" w:sz="12"/>
          <w:right w:val="single" w:color="1A5C2A" w:sz="4"/>
        </w:pBdr>
        <w:spacing w:after="160" w:before="120"/>
        <w:ind w:left="200" w:right="200"/>
      </w:pPr>
      <w:r>
        <w:rPr>
          <w:rFonts w:ascii="Calibri" w:cs="Calibri" w:eastAsia="Calibri" w:hAnsi="Calibri"/>
          <w:color w:val="1A5C2A"/>
          <w:sz w:val="18"/>
          <w:szCs w:val="18"/>
        </w:rPr>
        <w:t xml:space="preserve">SOLUTION : ORPHELINS — phrase de passe pour dériver la clé des COORDONNÉES du journal.</w:t>
      </w:r>
    </w:p>
    <w:p>
      <w:pPr>
        <w:pStyle w:val="Heading2"/>
        <w:spacing w:after="120" w:before="280"/>
      </w:pPr>
      <w:r>
        <w:rPr>
          <w:b/>
          <w:bCs/>
          <w:color w:val="444444"/>
          <w:sz w:val="23"/>
          <w:szCs w:val="23"/>
        </w:rPr>
        <w:t xml:space="preserve">Animation</w:t>
      </w:r>
    </w:p>
    <w:p>
      <w:pPr>
        <w:spacing w:after="70"/>
        <w:ind w:left="300"/>
      </w:pPr>
      <w:r>
        <w:rPr>
          <w:rFonts w:ascii="Calibri" w:cs="Calibri" w:eastAsia="Calibri" w:hAnsi="Calibri"/>
          <w:sz w:val="19"/>
          <w:szCs w:val="19"/>
        </w:rPr>
        <w:t xml:space="preserve">–  Dosh Kavarel montre le mur seulement si les PJ l'abordent avec tact.</w:t>
      </w:r>
    </w:p>
    <w:p>
      <w:pPr>
        <w:spacing w:after="70"/>
        <w:ind w:left="300"/>
      </w:pPr>
      <w:r>
        <w:rPr>
          <w:rFonts w:ascii="Calibri" w:cs="Calibri" w:eastAsia="Calibri" w:hAnsi="Calibri"/>
          <w:sz w:val="19"/>
          <w:szCs w:val="19"/>
        </w:rPr>
        <w:t xml:space="preserve">–  Pour lui c'est juste « le mur que la fille aimait peindre » — il ignore tout du code.</w:t>
      </w:r>
    </w:p>
    <w:p>
      <w:pPr>
        <w:pBdr>
          <w:left w:val="single" w:color="4A3580" w:sz="6"/>
        </w:pBdr>
        <w:spacing w:after="140"/>
        <w:ind w:left="300"/>
      </w:pP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Handouts : (1) photo de la fresque avec les neuf fenêtres allumées, (2) photo du graffiti-grille séparé dans le couloir.</w:t>
      </w:r>
    </w:p>
    <w:p>
      <w:pPr>
        <w:pStyle w:val="Heading1"/>
        <w:pBdr>
          <w:bottom w:val="single" w:color="4A3580" w:sz="6"/>
        </w:pBdr>
        <w:spacing w:after="200" w:before="400"/>
      </w:pPr>
      <w:r>
        <w:rPr>
          <w:b/>
          <w:bCs/>
          <w:color w:val="4A3580"/>
        </w:rPr>
        <w:t xml:space="preserve">INDICE (c) — LE PUZZLE PENTAMINOS</w:t>
      </w:r>
    </w:p>
    <w:p>
      <w:pPr>
        <w:pStyle w:val="Heading2"/>
        <w:spacing w:after="120" w:before="280"/>
      </w:pPr>
      <w:r>
        <w:rPr>
          <w:b/>
          <w:bCs/>
          <w:color w:val="444444"/>
          <w:sz w:val="23"/>
          <w:szCs w:val="23"/>
        </w:rPr>
        <w:t xml:space="preserve">Le mécanisme</w:t>
      </w:r>
    </w:p>
    <w:p>
      <w:pPr>
        <w:spacing w:after="140"/>
      </w:pPr>
      <w:r>
        <w:rPr>
          <w:rFonts w:ascii="Calibri" w:cs="Calibri" w:eastAsia="Calibri" w:hAnsi="Calibri"/>
          <w:sz w:val="19"/>
          <w:szCs w:val="19"/>
        </w:rPr>
        <w:t xml:space="preserve">Le casier 12-3-20 du centre sportif (code : 12 pentaminos, 3 rangées, 20 colonnes) contient un puzzle physique. Il n'existe que deux solutions pour assembler les 12 pentaminos en un rectangle 3×20. Tana a peint des lettres sur les pièces. Une seule solution forme une phrase cohérente sur la ligne centrale.</w:t>
      </w:r>
    </w:p>
    <w:p>
      <w:pPr>
        <w:pStyle w:val="Heading2"/>
        <w:spacing w:after="120" w:before="280"/>
      </w:pPr>
      <w:r>
        <w:rPr>
          <w:b/>
          <w:bCs/>
          <w:color w:val="444444"/>
          <w:sz w:val="23"/>
          <w:szCs w:val="23"/>
        </w:rPr>
        <w:t xml:space="preserve">Les deux solutions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3500"/>
      </w:tblGrid>
      <w:tr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0DDEF" w:val="clea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Solution</w:t>
            </w:r>
          </w:p>
        </w:tc>
        <w:tc>
          <w:tcPr>
            <w:tcW w:type="dxa" w:w="4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0DDEF" w:val="clea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Ligne centrale</w:t>
            </w:r>
          </w:p>
        </w:tc>
        <w:tc>
          <w:tcPr>
            <w:tcW w:type="dxa" w:w="3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0DDEF" w:val="clea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Verdict</w:t>
            </w:r>
          </w:p>
        </w:tc>
      </w:tr>
      <w:tr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Solution 1 (correcte)</w:t>
            </w:r>
          </w:p>
        </w:tc>
        <w:tc>
          <w:tcPr>
            <w:tcW w:type="dxa" w:w="4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JENESUISPLUSSEULEICI</w:t>
            </w:r>
          </w:p>
        </w:tc>
        <w:tc>
          <w:tcPr>
            <w:tcW w:type="dxa" w:w="3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Phrase lisible ✓</w:t>
            </w:r>
          </w:p>
        </w:tc>
      </w:tr>
      <w:tr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Solution 2 (fausse)</w:t>
            </w:r>
          </w:p>
        </w:tc>
        <w:tc>
          <w:tcPr>
            <w:tcW w:type="dxa" w:w="4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JENESUCIELUESSULISPI</w:t>
            </w:r>
          </w:p>
        </w:tc>
        <w:tc>
          <w:tcPr>
            <w:tcW w:type="dxa" w:w="3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Charabia — commence par JENESU, peut tromper brièvement</w:t>
            </w:r>
          </w:p>
        </w:tc>
      </w:tr>
    </w:tbl>
    <w:p>
      <w:pPr>
        <w:pBdr>
          <w:top w:val="single" w:color="1A5C2A" w:sz="4"/>
          <w:bottom w:val="single" w:color="1A5C2A" w:sz="4"/>
          <w:left w:val="single" w:color="1A5C2A" w:sz="12"/>
          <w:right w:val="single" w:color="1A5C2A" w:sz="4"/>
        </w:pBdr>
        <w:spacing w:after="160" w:before="120"/>
        <w:ind w:left="200" w:right="200"/>
      </w:pPr>
      <w:r>
        <w:rPr>
          <w:rFonts w:ascii="Calibri" w:cs="Calibri" w:eastAsia="Calibri" w:hAnsi="Calibri"/>
          <w:color w:val="1A5C2A"/>
          <w:sz w:val="18"/>
          <w:szCs w:val="18"/>
        </w:rPr>
        <w:t xml:space="preserve">SOLUTION : JENESUISPLUSSEULEICI — phrase de passe pour dériver la clé des MESSAGES du journal.</w:t>
      </w:r>
    </w:p>
    <w:p>
      <w:pPr>
        <w:pStyle w:val="Heading2"/>
        <w:spacing w:after="120" w:before="280"/>
      </w:pPr>
      <w:r>
        <w:rPr>
          <w:b/>
          <w:bCs/>
          <w:color w:val="444444"/>
          <w:sz w:val="23"/>
          <w:szCs w:val="23"/>
        </w:rPr>
        <w:t xml:space="preserve">Pourquoi la fausse solution trompe</w:t>
      </w:r>
    </w:p>
    <w:p>
      <w:pPr>
        <w:spacing w:after="140"/>
      </w:pPr>
      <w:r>
        <w:rPr>
          <w:rFonts w:ascii="Calibri" w:cs="Calibri" w:eastAsia="Calibri" w:hAnsi="Calibri"/>
          <w:sz w:val="19"/>
          <w:szCs w:val="19"/>
        </w:rPr>
        <w:t xml:space="preserve">Six lettres de tête (JENESU) sont identiques dans les deux solutions, car les pièces U, X et P ne bougent pas entre les deux arrangements. Un joueur peut donc croire avoir la bonne solution avant de tomber sur le charabia au milieu — cet effet est volontaire.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900"/>
      </w:tblGrid>
      <w:tr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0DDEF" w:val="clea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Pièces</w:t>
            </w:r>
          </w:p>
        </w:tc>
        <w:tc>
          <w:tcPr>
            <w:tcW w:type="dxa" w:w="6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0DDEF" w:val="clea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Comportement</w:t>
            </w:r>
          </w:p>
        </w:tc>
      </w:tr>
      <w:tr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U, X, P, T, V — fixes</w:t>
            </w:r>
          </w:p>
        </w:tc>
        <w:tc>
          <w:tcPr>
            <w:tcW w:type="dxa" w:w="6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Même position dans les deux solutions : lettres J, E, N, E, S, U, S, I identiques</w:t>
            </w:r>
          </w:p>
        </w:tc>
      </w:tr>
      <w:tr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Z, F, W, N, Y, L — mobiles</w:t>
            </w:r>
          </w:p>
        </w:tc>
        <w:tc>
          <w:tcPr>
            <w:tcW w:type="dxa" w:w="6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Changent de position : lettres différentes entre les deux solutions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444444"/>
          <w:sz w:val="23"/>
          <w:szCs w:val="23"/>
        </w:rPr>
        <w:t xml:space="preserve">Animation</w:t>
      </w:r>
    </w:p>
    <w:p>
      <w:pPr>
        <w:spacing w:after="70"/>
        <w:ind w:left="300"/>
      </w:pPr>
      <w:r>
        <w:rPr>
          <w:rFonts w:ascii="Calibri" w:cs="Calibri" w:eastAsia="Calibri" w:hAnsi="Calibri"/>
          <w:sz w:val="19"/>
          <w:szCs w:val="19"/>
        </w:rPr>
        <w:t xml:space="preserve">–  Grash Meloi ouvre le casier sans sourciller si on lui montre le datapad (0).</w:t>
      </w:r>
    </w:p>
    <w:p>
      <w:pPr>
        <w:spacing w:after="70"/>
        <w:ind w:left="300"/>
      </w:pPr>
      <w:r>
        <w:rPr>
          <w:rFonts w:ascii="Calibri" w:cs="Calibri" w:eastAsia="Calibri" w:hAnsi="Calibri"/>
          <w:sz w:val="19"/>
          <w:szCs w:val="19"/>
        </w:rPr>
        <w:t xml:space="preserve">–  Il ne sait pas ce que contient le casier — Tana lui a dit que « c'était pour un ami qui passerait le chercher ».</w:t>
      </w:r>
    </w:p>
    <w:p>
      <w:pPr>
        <w:spacing w:after="70"/>
        <w:ind w:left="300"/>
      </w:pPr>
      <w:r>
        <w:rPr>
          <w:rFonts w:ascii="Calibri" w:cs="Calibri" w:eastAsia="Calibri" w:hAnsi="Calibri"/>
          <w:sz w:val="19"/>
          <w:szCs w:val="19"/>
        </w:rPr>
        <w:t xml:space="preserve">–  Aucune solution imprimée dans la boîte — seule la résolution active donne la phrase.</w:t>
      </w:r>
    </w:p>
    <w:p>
      <w:pPr>
        <w:pStyle w:val="Heading1"/>
        <w:pBdr>
          <w:bottom w:val="single" w:color="4A3580" w:sz="6"/>
        </w:pBdr>
        <w:spacing w:after="200" w:before="400"/>
      </w:pPr>
      <w:r>
        <w:rPr>
          <w:b/>
          <w:bCs/>
          <w:color w:val="4A3580"/>
        </w:rPr>
        <w:t xml:space="preserve">INDICE (d) — LES PETITES ANNONCES DU MESS</w:t>
      </w:r>
    </w:p>
    <w:p>
      <w:pPr>
        <w:pStyle w:val="Heading2"/>
        <w:spacing w:after="120" w:before="280"/>
      </w:pPr>
      <w:r>
        <w:rPr>
          <w:b/>
          <w:bCs/>
          <w:color w:val="444444"/>
          <w:sz w:val="23"/>
          <w:szCs w:val="23"/>
        </w:rPr>
        <w:t xml:space="preserve">Le mécanisme</w:t>
      </w:r>
    </w:p>
    <w:p>
      <w:pPr>
        <w:spacing w:after="140"/>
      </w:pPr>
      <w:r>
        <w:rPr>
          <w:rFonts w:ascii="Calibri" w:cs="Calibri" w:eastAsia="Calibri" w:hAnsi="Calibri"/>
          <w:sz w:val="19"/>
          <w:szCs w:val="19"/>
        </w:rPr>
        <w:t xml:space="preserve">Six annonces sont épinglées sur le tableau du mess. Elles sont groupées en trois paires. Pour chaque paire, les mots présents dans les DEUX annonces forment le message caché.</w:t>
      </w:r>
    </w:p>
    <w:p>
      <w:pPr>
        <w:pBdr>
          <w:top w:val="single" w:color="7A4800" w:sz="4"/>
          <w:bottom w:val="single" w:color="7A4800" w:sz="4"/>
          <w:left w:val="single" w:color="7A4800" w:sz="12"/>
          <w:right w:val="single" w:color="7A4800" w:sz="4"/>
        </w:pBdr>
        <w:spacing w:after="160" w:before="120"/>
        <w:ind w:left="200" w:right="200"/>
      </w:pPr>
      <w:r>
        <w:rPr>
          <w:rFonts w:ascii="Calibri" w:cs="Calibri" w:eastAsia="Calibri" w:hAnsi="Calibri"/>
          <w:color w:val="7A4800"/>
          <w:sz w:val="18"/>
          <w:szCs w:val="18"/>
        </w:rPr>
        <w:t xml:space="preserve">RÈGLE UNIQUE : ne retenir que les mots communs aux deux annonces de la paire. Ni la ponctuation, ni les mots présents dans une seule.</w:t>
      </w:r>
    </w:p>
    <w:p>
      <w:pPr>
        <w:pStyle w:val="Heading2"/>
        <w:spacing w:after="120" w:before="280"/>
      </w:pPr>
      <w:r>
        <w:rPr>
          <w:b/>
          <w:bCs/>
          <w:color w:val="444444"/>
          <w:sz w:val="23"/>
          <w:szCs w:val="23"/>
        </w:rPr>
        <w:t xml:space="preserve">Paire 1-2 — message : « Le début de la clé est République »</w:t>
      </w:r>
    </w:p>
    <w:p>
      <w:pPr>
        <w:pBdr>
          <w:left w:val="single" w:color="9988CC" w:sz="6"/>
        </w:pBdr>
        <w:shd w:fill="F8F7FC" w:val="clear"/>
        <w:spacing w:after="80"/>
        <w:ind w:left="200" w:right="200"/>
      </w:pPr>
      <w:r>
        <w:rPr>
          <w:rFonts w:ascii="Calibri" w:cs="Calibri" w:eastAsia="Calibri" w:hAnsi="Calibri"/>
          <w:b/>
          <w:bCs/>
          <w:color w:val="4A3580"/>
          <w:sz w:val="18"/>
          <w:szCs w:val="18"/>
        </w:rPr>
        <w:t xml:space="preserve">[1] </w:t>
      </w:r>
      <w:r>
        <w:rPr>
          <w:rFonts w:ascii="Calibri" w:cs="Calibri" w:eastAsia="Calibri" w:hAnsi="Calibri"/>
          <w:sz w:val="18"/>
          <w:szCs w:val="18"/>
        </w:rPr>
        <w:t xml:space="preserve">Le droïde R5 a un début de défaillance. Recherche la clé spécifique à ce modèle qui est de la République. Prix max 5 crédits.</w:t>
      </w:r>
    </w:p>
    <w:p>
      <w:pPr>
        <w:pBdr>
          <w:left w:val="single" w:color="9988CC" w:sz="6"/>
        </w:pBdr>
        <w:shd w:fill="F8F7FC" w:val="clear"/>
        <w:spacing w:after="80"/>
        <w:ind w:left="200" w:right="200"/>
      </w:pPr>
      <w:r>
        <w:rPr>
          <w:rFonts w:ascii="Calibri" w:cs="Calibri" w:eastAsia="Calibri" w:hAnsi="Calibri"/>
          <w:b/>
          <w:bCs/>
          <w:color w:val="4A3580"/>
          <w:sz w:val="18"/>
          <w:szCs w:val="18"/>
        </w:rPr>
        <w:t xml:space="preserve">[2] </w:t>
      </w:r>
      <w:r>
        <w:rPr>
          <w:rFonts w:ascii="Calibri" w:cs="Calibri" w:eastAsia="Calibri" w:hAnsi="Calibri"/>
          <w:sz w:val="18"/>
          <w:szCs w:val="18"/>
        </w:rPr>
        <w:t xml:space="preserve">Je cherche des pièces. Le début de la clé est République pour mon vaisseau.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1A5C2A"/>
          <w:sz w:val="19"/>
          <w:szCs w:val="19"/>
        </w:rPr>
        <w:t xml:space="preserve">Mots communs : le / début / de / la / clé / est / République</w:t>
      </w:r>
    </w:p>
    <w:p>
      <w:pPr>
        <w:spacing w:after="140"/>
      </w:pPr>
      <w:r>
        <w:rPr>
          <w:rFonts w:ascii="Calibri" w:cs="Calibri" w:eastAsia="Calibri" w:hAnsi="Calibri"/>
          <w:sz w:val="19"/>
          <w:szCs w:val="19"/>
        </w:rPr>
        <w:t xml:space="preserve"/>
      </w:r>
    </w:p>
    <w:p>
      <w:pPr>
        <w:pStyle w:val="Heading2"/>
        <w:spacing w:after="120" w:before="280"/>
      </w:pPr>
      <w:r>
        <w:rPr>
          <w:b/>
          <w:bCs/>
          <w:color w:val="444444"/>
          <w:sz w:val="23"/>
          <w:szCs w:val="23"/>
        </w:rPr>
        <w:t xml:space="preserve">Paire 3-4 — message : « La deuxième moitié est retour »</w:t>
      </w:r>
    </w:p>
    <w:p>
      <w:pPr>
        <w:pBdr>
          <w:left w:val="single" w:color="9988CC" w:sz="6"/>
        </w:pBdr>
        <w:shd w:fill="F8F7FC" w:val="clear"/>
        <w:spacing w:after="80"/>
        <w:ind w:left="200" w:right="200"/>
      </w:pPr>
      <w:r>
        <w:rPr>
          <w:rFonts w:ascii="Calibri" w:cs="Calibri" w:eastAsia="Calibri" w:hAnsi="Calibri"/>
          <w:b/>
          <w:bCs/>
          <w:color w:val="4A3580"/>
          <w:sz w:val="18"/>
          <w:szCs w:val="18"/>
        </w:rPr>
        <w:t xml:space="preserve">[3] </w:t>
      </w:r>
      <w:r>
        <w:rPr>
          <w:rFonts w:ascii="Calibri" w:cs="Calibri" w:eastAsia="Calibri" w:hAnsi="Calibri"/>
          <w:sz w:val="18"/>
          <w:szCs w:val="18"/>
        </w:rPr>
        <w:t xml:space="preserve">Cargaison de blindage arrivant demain. La deuxième moitié est livrée au retour. Porteurs recherchés 2 crédits par heure.</w:t>
      </w:r>
    </w:p>
    <w:p>
      <w:pPr>
        <w:pBdr>
          <w:left w:val="single" w:color="9988CC" w:sz="6"/>
        </w:pBdr>
        <w:shd w:fill="F8F7FC" w:val="clear"/>
        <w:spacing w:after="80"/>
        <w:ind w:left="200" w:right="200"/>
      </w:pPr>
      <w:r>
        <w:rPr>
          <w:rFonts w:ascii="Calibri" w:cs="Calibri" w:eastAsia="Calibri" w:hAnsi="Calibri"/>
          <w:b/>
          <w:bCs/>
          <w:color w:val="4A3580"/>
          <w:sz w:val="18"/>
          <w:szCs w:val="18"/>
        </w:rPr>
        <w:t xml:space="preserve">[4] </w:t>
      </w:r>
      <w:r>
        <w:rPr>
          <w:rFonts w:ascii="Calibri" w:cs="Calibri" w:eastAsia="Calibri" w:hAnsi="Calibri"/>
          <w:sz w:val="18"/>
          <w:szCs w:val="18"/>
        </w:rPr>
        <w:t xml:space="preserve">Bronstein, la deuxième moitié du paiement est due hier. Sans retour, je mets une prime.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1A5C2A"/>
          <w:sz w:val="19"/>
          <w:szCs w:val="19"/>
        </w:rPr>
        <w:t xml:space="preserve">Mots communs : la / deuxième / moitié / est / retour</w:t>
      </w:r>
    </w:p>
    <w:p>
      <w:pPr>
        <w:spacing w:after="140"/>
      </w:pPr>
      <w:r>
        <w:rPr>
          <w:rFonts w:ascii="Calibri" w:cs="Calibri" w:eastAsia="Calibri" w:hAnsi="Calibri"/>
          <w:sz w:val="19"/>
          <w:szCs w:val="19"/>
        </w:rPr>
        <w:t xml:space="preserve"/>
      </w:r>
    </w:p>
    <w:p>
      <w:pPr>
        <w:pStyle w:val="Heading2"/>
        <w:spacing w:after="120" w:before="280"/>
      </w:pPr>
      <w:r>
        <w:rPr>
          <w:b/>
          <w:bCs/>
          <w:color w:val="444444"/>
          <w:sz w:val="23"/>
          <w:szCs w:val="23"/>
        </w:rPr>
        <w:t xml:space="preserve">Paire 5-6 — message : « Pour dériver, prendre Argon2 »</w:t>
      </w:r>
    </w:p>
    <w:p>
      <w:pPr>
        <w:pBdr>
          <w:left w:val="single" w:color="9988CC" w:sz="6"/>
        </w:pBdr>
        <w:shd w:fill="F8F7FC" w:val="clear"/>
        <w:spacing w:after="80"/>
        <w:ind w:left="200" w:right="200"/>
      </w:pPr>
      <w:r>
        <w:rPr>
          <w:rFonts w:ascii="Calibri" w:cs="Calibri" w:eastAsia="Calibri" w:hAnsi="Calibri"/>
          <w:b/>
          <w:bCs/>
          <w:color w:val="4A3580"/>
          <w:sz w:val="18"/>
          <w:szCs w:val="18"/>
        </w:rPr>
        <w:t xml:space="preserve">[5] </w:t>
      </w:r>
      <w:r>
        <w:rPr>
          <w:rFonts w:ascii="Calibri" w:cs="Calibri" w:eastAsia="Calibri" w:hAnsi="Calibri"/>
          <w:sz w:val="18"/>
          <w:szCs w:val="18"/>
        </w:rPr>
        <w:t xml:space="preserve">Cherche pilote. Pour dériver en sécurité, prendre Argon2. Disponible immédiatement.</w:t>
      </w:r>
    </w:p>
    <w:p>
      <w:pPr>
        <w:pBdr>
          <w:left w:val="single" w:color="9988CC" w:sz="6"/>
        </w:pBdr>
        <w:shd w:fill="F8F7FC" w:val="clear"/>
        <w:spacing w:after="80"/>
        <w:ind w:left="200" w:right="200"/>
      </w:pPr>
      <w:r>
        <w:rPr>
          <w:rFonts w:ascii="Calibri" w:cs="Calibri" w:eastAsia="Calibri" w:hAnsi="Calibri"/>
          <w:b/>
          <w:bCs/>
          <w:color w:val="4A3580"/>
          <w:sz w:val="18"/>
          <w:szCs w:val="18"/>
        </w:rPr>
        <w:t xml:space="preserve">[6] </w:t>
      </w:r>
      <w:r>
        <w:rPr>
          <w:rFonts w:ascii="Calibri" w:cs="Calibri" w:eastAsia="Calibri" w:hAnsi="Calibri"/>
          <w:sz w:val="18"/>
          <w:szCs w:val="18"/>
        </w:rPr>
        <w:t xml:space="preserve">Offre : Pour ne pas dériver dans vos comptes, prendre Argon2 comme logiciel de compta. Vendu chez Doiron.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1A5C2A"/>
          <w:sz w:val="19"/>
          <w:szCs w:val="19"/>
        </w:rPr>
        <w:t xml:space="preserve">Mots communs : pour / dériver / prendre / Argon2</w:t>
      </w:r>
    </w:p>
    <w:p>
      <w:pPr>
        <w:spacing w:after="140"/>
      </w:pPr>
      <w:r>
        <w:rPr>
          <w:rFonts w:ascii="Calibri" w:cs="Calibri" w:eastAsia="Calibri" w:hAnsi="Calibri"/>
          <w:sz w:val="19"/>
          <w:szCs w:val="19"/>
        </w:rPr>
        <w:t xml:space="preserve"/>
      </w:r>
    </w:p>
    <w:p>
      <w:pPr>
        <w:pBdr>
          <w:top w:val="single" w:color="1A5C2A" w:sz="4"/>
          <w:bottom w:val="single" w:color="1A5C2A" w:sz="4"/>
          <w:left w:val="single" w:color="1A5C2A" w:sz="12"/>
          <w:right w:val="single" w:color="1A5C2A" w:sz="4"/>
        </w:pBdr>
        <w:spacing w:after="160" w:before="120"/>
        <w:ind w:left="200" w:right="200"/>
      </w:pPr>
      <w:r>
        <w:rPr>
          <w:rFonts w:ascii="Calibri" w:cs="Calibri" w:eastAsia="Calibri" w:hAnsi="Calibri"/>
          <w:color w:val="1A5C2A"/>
          <w:sz w:val="18"/>
          <w:szCs w:val="18"/>
        </w:rPr>
        <w:t xml:space="preserve">SOLUTION ASSEMBLÉE : clé maître « RépubliqueRetour » (16 caractères) + algorithme Argon2.
Bafouille calcule ensuite :
• RépubliqueRetour + Argon2 + ORPHELINS → clé de déchiffrement des COORDONNÉES
• RépubliqueRetour + Argon2 + JENESUISPLUSSEULEICI → clé de déchiffrement des MESSAGES</w:t>
      </w:r>
    </w:p>
    <w:p>
      <w:pPr>
        <w:pStyle w:val="Heading2"/>
        <w:spacing w:after="120" w:before="280"/>
      </w:pPr>
      <w:r>
        <w:rPr>
          <w:b/>
          <w:bCs/>
          <w:color w:val="444444"/>
          <w:sz w:val="23"/>
          <w:szCs w:val="23"/>
        </w:rPr>
        <w:t xml:space="preserve">Animation</w:t>
      </w:r>
    </w:p>
    <w:p>
      <w:pPr>
        <w:spacing w:after="70"/>
        <w:ind w:left="300"/>
      </w:pPr>
      <w:r>
        <w:rPr>
          <w:rFonts w:ascii="Calibri" w:cs="Calibri" w:eastAsia="Calibri" w:hAnsi="Calibri"/>
          <w:sz w:val="19"/>
          <w:szCs w:val="19"/>
        </w:rPr>
        <w:t xml:space="preserve">–  Kessa Droman confirme que Tana est passée récemment épingler des annonces — elle ne les a pas lues.</w:t>
      </w:r>
    </w:p>
    <w:p>
      <w:pPr>
        <w:spacing w:after="70"/>
        <w:ind w:left="300"/>
      </w:pPr>
      <w:r>
        <w:rPr>
          <w:rFonts w:ascii="Calibri" w:cs="Calibri" w:eastAsia="Calibri" w:hAnsi="Calibri"/>
          <w:sz w:val="19"/>
          <w:szCs w:val="19"/>
        </w:rPr>
        <w:t xml:space="preserve">–  Les six annonces sont mêlées à d'autres sur le tableau : les PJ doivent identifier qu'elles forment un ensemble (style légèrement homogène, comme tapées par la même personne).</w:t>
      </w:r>
    </w:p>
    <w:p>
      <w:pPr>
        <w:spacing w:after="70"/>
        <w:ind w:left="300"/>
      </w:pPr>
      <w:r>
        <w:rPr>
          <w:rFonts w:ascii="Calibri" w:cs="Calibri" w:eastAsia="Calibri" w:hAnsi="Calibri"/>
          <w:sz w:val="19"/>
          <w:szCs w:val="19"/>
        </w:rPr>
        <w:t xml:space="preserve">–  L'annonce 6 mentionne « Vendu chez Doiron » — clin d'œil permettant de recouper avec le point de départ.</w:t>
      </w:r>
    </w:p>
    <w:p>
      <w:pPr>
        <w:pBdr>
          <w:left w:val="single" w:color="4A3580" w:sz="6"/>
        </w:pBdr>
        <w:spacing w:after="140"/>
        <w:ind w:left="300"/>
      </w:pP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Handout recommandé : les six annonces imprimées sur des petits bouts de papier à distribuer aux joueurs — l'effet physique de les comparer côte à côte est bien meilleur qu'une lecture à voix haute.</w:t>
      </w:r>
    </w:p>
    <w:p>
      <w:pPr>
        <w:pStyle w:val="Heading1"/>
        <w:pBdr>
          <w:bottom w:val="single" w:color="4A3580" w:sz="6"/>
        </w:pBdr>
        <w:spacing w:after="200" w:before="400"/>
      </w:pPr>
      <w:r>
        <w:rPr>
          <w:b/>
          <w:bCs/>
          <w:color w:val="4A3580"/>
        </w:rPr>
        <w:t xml:space="preserve">RÉCAPITULATIF — PARAMÈTRES POUR BAFOUILLE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300"/>
      </w:tblGrid>
      <w:tr>
        <w:tc>
          <w:tcPr>
            <w:tcW w:type="dxa" w:w="2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0DDEF" w:val="clea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Paramètre</w:t>
            </w:r>
          </w:p>
        </w:tc>
        <w:tc>
          <w:tcPr>
            <w:tcW w:type="dxa" w:w="6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0DDEF" w:val="clea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Valeur</w:t>
            </w:r>
          </w:p>
        </w:tc>
      </w:tr>
      <w:tr>
        <w:tc>
          <w:tcPr>
            <w:tcW w:type="dxa" w:w="2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Clé maître (AES-128)</w:t>
            </w:r>
          </w:p>
        </w:tc>
        <w:tc>
          <w:tcPr>
            <w:tcW w:type="dxa" w:w="6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RépubliqueRetour (16 caractères)</w:t>
            </w:r>
          </w:p>
        </w:tc>
      </w:tr>
      <w:tr>
        <w:tc>
          <w:tcPr>
            <w:tcW w:type="dxa" w:w="2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Algorithme de dérivation</w:t>
            </w:r>
          </w:p>
        </w:tc>
        <w:tc>
          <w:tcPr>
            <w:tcW w:type="dxa" w:w="6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Argon2</w:t>
            </w:r>
          </w:p>
        </w:tc>
      </w:tr>
      <w:tr>
        <w:tc>
          <w:tcPr>
            <w:tcW w:type="dxa" w:w="2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Phrase de dérivation — COORDONNÉES</w:t>
            </w:r>
          </w:p>
        </w:tc>
        <w:tc>
          <w:tcPr>
            <w:tcW w:type="dxa" w:w="6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ORPHELINS (indice b)</w:t>
            </w:r>
          </w:p>
        </w:tc>
      </w:tr>
      <w:tr>
        <w:tc>
          <w:tcPr>
            <w:tcW w:type="dxa" w:w="2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Phrase de dérivation — MESSAGES</w:t>
            </w:r>
          </w:p>
        </w:tc>
        <w:tc>
          <w:tcPr>
            <w:tcW w:type="dxa" w:w="6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JENESUISPLUSSEULEICI (indice c)</w:t>
            </w:r>
          </w:p>
        </w:tc>
      </w:tr>
      <w:tr>
        <w:tc>
          <w:tcPr>
            <w:tcW w:type="dxa" w:w="2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Alias à cibler dans le journal (a)</w:t>
            </w:r>
          </w:p>
        </w:tc>
        <w:tc>
          <w:tcPr>
            <w:tcW w:type="dxa" w:w="6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Ulic Qel-Droma / Liana Merian / Agrippa Aldrete</w:t>
            </w:r>
          </w:p>
        </w:tc>
      </w:tr>
      <w:tr>
        <w:tc>
          <w:tcPr>
            <w:tcW w:type="dxa" w:w="2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Entrées à déchiffrer</w:t>
            </w:r>
          </w:p>
        </w:tc>
        <w:tc>
          <w:tcPr>
            <w:tcW w:type="dxa" w:w="6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18 (sur 78 lignes au total)</w:t>
            </w:r>
          </w:p>
        </w:tc>
      </w:tr>
    </w:tbl>
    <w:p>
      <w:pPr>
        <w:pBdr>
          <w:left w:val="single" w:color="4A3580" w:sz="6"/>
        </w:pBdr>
        <w:spacing w:after="140"/>
        <w:ind w:left="300"/>
      </w:pP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En jeu, les joueurs ne font pas les calculs eux-mêmes : ils fournissent les paramètres à Bafouille, qui produit les entrées en clair. C'est la résolution des énigmes qui est le jeu, pas la cryptographie.</w:t>
      </w:r>
    </w:p>
    <w:p>
      <w:pPr>
        <w:pBdr>
          <w:top w:val="single" w:color="8B1A1A" w:sz="4"/>
          <w:bottom w:val="single" w:color="8B1A1A" w:sz="4"/>
          <w:left w:val="single" w:color="8B1A1A" w:sz="12"/>
          <w:right w:val="single" w:color="8B1A1A" w:sz="4"/>
        </w:pBdr>
        <w:spacing w:after="160" w:before="120"/>
        <w:ind w:left="200" w:right="200"/>
      </w:pPr>
      <w:r>
        <w:rPr>
          <w:rFonts w:ascii="Calibri" w:cs="Calibri" w:eastAsia="Calibri" w:hAnsi="Calibri"/>
          <w:color w:val="8B1A1A"/>
          <w:sz w:val="18"/>
          <w:szCs w:val="18"/>
        </w:rPr>
        <w:t xml:space="preserve">Rappel : même si Tana rejoint les PJ, elle ne connaît pas (b) et (c) — les clés sont délibérément éparpillées pour qu'aucune personne seule ne puisse tout compromettre. Les PJ doivent toujours aller chercher les trois indices physiques.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44444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444444"/>
        <w:sz w:val="16"/>
        <w:szCs w:val="16"/>
      </w:rPr>
      <w:t xml:space="preserve"> / </w:t>
    </w:r>
    <w:r>
      <w:rPr>
        <w:color w:val="444444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A3580" w:sz="4"/>
      </w:pBdr>
      <w:jc w:val="right"/>
    </w:pPr>
    <w:r>
      <w:rPr>
        <w:i/>
        <w:iCs/>
        <w:color w:val="444444"/>
        <w:sz w:val="16"/>
        <w:szCs w:val="16"/>
      </w:rPr>
      <w:t xml:space="preserve">Signal de Détresse — Détail des énigmes (document MJ)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2026-07-19T12:26:07.445Z</dcterms:created>
  <dcterms:modified xsi:type="dcterms:W3CDTF">2026-07-19T12:26:07.459Z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