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3A3F44"/>
          <w:sz w:val="36"/>
          <w:szCs w:val="36"/>
        </w:rPr>
        <w:t xml:space="preserve">AUDIT DES PROTOCOLES DE COMMUNICATION COMMERCIALE — ZONE D'EXPANSION</w:t>
      </w:r>
    </w:p>
    <w:p>
      <w:pPr>
        <w:spacing w:after="600"/>
        <w:jc w:val="center"/>
      </w:pPr>
      <w:r>
        <w:rPr>
          <w:rFonts w:ascii="Arial" w:cs="Arial" w:eastAsia="Arial" w:hAnsi="Arial"/>
          <w:i/>
          <w:iCs/>
          <w:sz w:val="20"/>
          <w:szCs w:val="20"/>
        </w:rPr>
        <w:t xml:space="preserve">Référence : IMP-CSK-AUD-007</w:t>
      </w:r>
    </w:p>
    <w:p>
      <w:pPr>
        <w:spacing w:after="200" w:before="400"/>
      </w:pPr>
      <w:r>
        <w:rPr>
          <w:rFonts w:ascii="Arial" w:cs="Arial" w:eastAsia="Arial" w:hAnsi="Arial"/>
          <w:b/>
          <w:bCs/>
          <w:color w:val="3A3F44"/>
          <w:sz w:val="24"/>
          <w:szCs w:val="24"/>
        </w:rPr>
        <w:t xml:space="preserve">SUIVI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538"/>
      </w:tblGrid>
      <w:tr>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Version</w:t>
            </w:r>
          </w:p>
        </w:tc>
        <w:tc>
          <w:tcPr>
            <w:tcW w:type="dxa" w:w="1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Date</w:t>
            </w:r>
          </w:p>
        </w:tc>
        <w:tc>
          <w:tcPr>
            <w:tcW w:type="dxa" w:w="2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Auteur</w:t>
            </w:r>
          </w:p>
        </w:tc>
        <w:tc>
          <w:tcPr>
            <w:tcW w:type="dxa" w:w="35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Nature de la modification</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0.1</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18 / J.310</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Bureau de Vérification Sectoriel</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Création — collecte des données</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0.2</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18 / J.332</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Bureau de Vérification Sectoriel</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section recommandations</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18 / J.340</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Bureau de Vérification Sectoriel</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Version validée pour diffusion</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1.1</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18 / J.355</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Bureau de Vérification Sectoriel</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Extension — panorama complet par mode de communication</w:t>
            </w:r>
          </w:p>
        </w:tc>
      </w:tr>
    </w:tbl>
    <w:p>
      <w:pPr>
        <w:spacing w:after="200" w:before="500"/>
      </w:pPr>
      <w:r>
        <w:rPr>
          <w:rFonts w:ascii="Arial" w:cs="Arial" w:eastAsia="Arial" w:hAnsi="Arial"/>
          <w:b/>
          <w:bCs/>
          <w:color w:val="3A3F44"/>
          <w:sz w:val="24"/>
          <w:szCs w:val="24"/>
        </w:rPr>
        <w:t xml:space="preserve">CLASSIFICATION ET DIFFUSION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Niveau</w:t>
            </w:r>
          </w:p>
        </w:tc>
        <w:tc>
          <w:tcPr>
            <w:tcW w:type="dxa" w:w="6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Distribution autorisée</w:t>
            </w:r>
          </w:p>
        </w:tc>
      </w:tr>
      <w:tr>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Diffusion restreinte</w:t>
            </w:r>
          </w:p>
        </w:tc>
        <w:tc>
          <w:tcPr>
            <w:tcW w:type="dxa" w:w="6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Administrateurs de station, Bureau Technique Sectoriel</w:t>
            </w:r>
          </w:p>
        </w:tc>
      </w:tr>
    </w:tbl>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pPr>
      <w:r>
        <w:rPr>
          <w:b/>
          <w:bCs/>
          <w:color w:val="3A3F44"/>
        </w:rPr>
        <w:t xml:space="preserve">1. OBJET</w:t>
      </w:r>
    </w:p>
    <w:p>
      <w:pPr>
        <w:spacing w:after="200"/>
      </w:pPr>
      <w:r>
        <w:t xml:space="preserve">Le présent audit évalue la robustesse des protocoles de communication utilisés à des fins commerciales sur les stations relais de la zone d'expansion, dans le cadre du contrôle périodique prescrit par la directive CSI-118. Contrairement aux audits techniques antérieurs, limités au seul protocole de chiffrement radio, le présent exercice couvre l'ensemble des canaux de communication employés dans le cadre des activités commerciales courantes, qu'il s'agisse de vulnérabilités d'origine technique ou de défaillances liées aux pratiques du personnel.</w:t>
      </w:r>
    </w:p>
    <w:p>
      <w:pPr>
        <w:spacing w:after="200"/>
      </w:pPr>
      <w:r>
        <w:t xml:space="preserve">Cette extension de périmètre fait suite à une recommandation du Bureau de Vérification Sectoriel, qui a constaté à plusieurs reprises que des incidents de sécurité imputés à tort à des défaillances matérielles relevaient en réalité d'un usage non conforme des protocoles existants.</w:t>
      </w:r>
    </w:p>
    <w:p>
      <w:pPr>
        <w:pStyle w:val="Heading1"/>
        <w:spacing w:after="200" w:before="300"/>
      </w:pPr>
      <w:r>
        <w:rPr>
          <w:b/>
          <w:bCs/>
          <w:color w:val="3A3F44"/>
        </w:rPr>
        <w:t xml:space="preserve">2. MÉTHODOLOGIE</w:t>
      </w:r>
    </w:p>
    <w:p>
      <w:pPr>
        <w:spacing w:after="200"/>
      </w:pPr>
      <w:r>
        <w:t xml:space="preserve">L'audit a porté sur un échantillon de vingt-trois stations relais, sélectionnées selon leur ancienneté d'équipement et leur volume de trafic commercial. Pour chaque station de l'échantillon, l'équipe d'audit a procédé à : un relevé des versions de micrologiciel et de protocole déployées ; un entretien structuré avec le personnel technique et administratif ; une revue des registres d'accès aux systèmes critiques sur les douze derniers cycles ; et un contrôle par sondage du matériel de communication portable en dotation.</w:t>
      </w:r>
    </w:p>
    <w:p>
      <w:pPr>
        <w:spacing w:after="200"/>
      </w:pPr>
      <w:r>
        <w:t xml:space="preserve">Il est précisé que cet audit n'a pas vocation à évaluer les canaux de communication militaires ou administratifs classifiés, qui relèvent d'un protocole distinct et d'une procédure de contrôle séparée.</w:t>
      </w:r>
    </w:p>
    <w:p>
      <w:pPr>
        <w:pStyle w:val="Heading1"/>
        <w:spacing w:after="200" w:before="300"/>
      </w:pPr>
      <w:r>
        <w:rPr>
          <w:b/>
          <w:bCs/>
          <w:color w:val="3A3F44"/>
        </w:rPr>
        <w:t xml:space="preserve">3. PANORAMA DES MODES DE COMMUNICATION COMMERCIALE</w:t>
      </w:r>
    </w:p>
    <w:p>
      <w:pPr>
        <w:spacing w:after="200"/>
      </w:pPr>
      <w:r>
        <w:t xml:space="preserve">Quatre grandes catégories de communication sont mobilisées dans le cadre des activités commerciales d'une station relais type, chacune répondant à un usage distinct et présentant un profil de risque propre.</w:t>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38"/>
      </w:tblGrid>
      <w:tr>
        <w:tc>
          <w:tcPr>
            <w:tcW w:type="dxa" w:w="2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Mode</w:t>
            </w:r>
          </w:p>
        </w:tc>
        <w:tc>
          <w:tcPr>
            <w:tcW w:type="dxa" w:w="3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Usage commercial typique</w:t>
            </w:r>
          </w:p>
        </w:tc>
        <w:tc>
          <w:tcPr>
            <w:tcW w:type="dxa" w:w="38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Portée / caractéristiques</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Holonet</w:t>
            </w:r>
          </w:p>
        </w:tc>
        <w:tc>
          <w:tcPr>
            <w:tcW w:type="dxa" w:w="3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Contrats de valeur élevée, licences, correspondance officielle inter-secteurs</w:t>
            </w:r>
          </w:p>
        </w:tc>
        <w:tc>
          <w:tcPr>
            <w:tcW w:type="dxa" w:w="38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Longue portée, infrastructure de relais partagée</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Réseau radio commercial (CCS-4)</w:t>
            </w:r>
          </w:p>
        </w:tc>
        <w:tc>
          <w:tcPr>
            <w:tcW w:type="dxa" w:w="3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Négociations d'amarrage, échanges courants avec opérateurs indépendants</w:t>
            </w:r>
          </w:p>
        </w:tc>
        <w:tc>
          <w:tcPr>
            <w:tcW w:type="dxa" w:w="38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Portée moyenne, canal partagé par station</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Réseau informatique interne</w:t>
            </w:r>
          </w:p>
        </w:tc>
        <w:tc>
          <w:tcPr>
            <w:tcW w:type="dxa" w:w="3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Logistique, planification, registres et journaux de station</w:t>
            </w:r>
          </w:p>
        </w:tc>
        <w:tc>
          <w:tcPr>
            <w:tcW w:type="dxa" w:w="38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Local, généralement segmenté par niveau d'accès</w:t>
            </w:r>
          </w:p>
        </w:tc>
      </w:tr>
      <w:tr>
        <w:tc>
          <w:tcPr>
            <w:tcW w:type="dxa" w:w="2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Comlinks personnels</w:t>
            </w:r>
          </w:p>
        </w:tc>
        <w:tc>
          <w:tcPr>
            <w:tcW w:type="dxa" w:w="3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Coordination courante entre personnel, échanges informels sur le quai</w:t>
            </w:r>
          </w:p>
        </w:tc>
        <w:tc>
          <w:tcPr>
            <w:tcW w:type="dxa" w:w="38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Courte portée, matériel individuel</w:t>
            </w:r>
          </w:p>
        </w:tc>
      </w:tr>
    </w:tbl>
    <w:p>
      <w:pPr>
        <w:pStyle w:val="Heading1"/>
        <w:spacing w:after="200" w:before="300"/>
      </w:pPr>
      <w:r>
        <w:rPr>
          <w:b/>
          <w:bCs/>
          <w:color w:val="3A3F44"/>
        </w:rPr>
        <w:t xml:space="preserve">4. ANALYSE DÉTAILLÉE PAR MODE DE COMMUNICATION</w:t>
      </w:r>
    </w:p>
    <w:p>
      <w:pPr>
        <w:pStyle w:val="Heading2"/>
        <w:spacing w:after="150" w:before="250"/>
      </w:pPr>
      <w:r>
        <w:rPr>
          <w:b/>
          <w:bCs/>
          <w:color w:val="3A3F44"/>
          <w:sz w:val="22"/>
          <w:szCs w:val="22"/>
        </w:rPr>
        <w:t xml:space="preserve">4.1 Holonet</w:t>
      </w:r>
    </w:p>
    <w:p>
      <w:pPr>
        <w:spacing w:after="200"/>
      </w:pPr>
      <w:r>
        <w:t xml:space="preserve">Défauts techniques — Les nœuds de relais holonet utilisés par les stations les plus excentrées de la zone d'expansion reposent encore, pour près d'un tiers de l'échantillon, sur des générations d'infrastructure antérieures à la dernière révision de sécurité sectorielle, ce qui allonge artificiellement la fenêtre d'exposition en cas de compromission d'un nœud intermédiaire.</w:t>
      </w:r>
    </w:p>
    <w:p>
      <w:pPr>
        <w:spacing w:after="200"/>
      </w:pPr>
      <w:r>
        <w:t xml:space="preserve">Défauts d'utilisation — L'équipe d'audit a constaté, dans plusieurs stations, un recours à des canaux de secours moins sécurisés lorsque la latence holonet standard est jugée excessive par le personnel, notamment lors de négociations commerciales sensibles au facteur temps. Il a également été relevé un usage partagé de terminaux d'authentification holonet entre plusieurs membres d'une même équipe de quart, en contradiction avec le principe d'imputabilité individuelle prévu par le règlement.</w:t>
      </w:r>
    </w:p>
    <w:p>
      <w:pPr>
        <w:pStyle w:val="Heading2"/>
        <w:spacing w:after="150" w:before="250"/>
      </w:pPr>
      <w:r>
        <w:rPr>
          <w:b/>
          <w:bCs/>
          <w:color w:val="3A3F44"/>
          <w:sz w:val="22"/>
          <w:szCs w:val="22"/>
        </w:rPr>
        <w:t xml:space="preserve">4.2 Réseau radio commercial standard (CCS-4)</w:t>
      </w:r>
    </w:p>
    <w:p>
      <w:pPr>
        <w:spacing w:after="200"/>
      </w:pPr>
      <w:r>
        <w:t xml:space="preserve">Défauts techniques — Ainsi que documenté dans les versions précédentes du présent audit, une part significative des stations examinées utilise encore une révision de micrologiciel CCS-4 antérieure au correctif de sécurité 4.2. La station Kessel-Tho figure parmi les stations concernées, son dernier cycle de mise à jour recensé remontant à plus de trois cycles standard.</w:t>
      </w:r>
    </w:p>
    <w:p>
      <w:pPr>
        <w:spacing w:after="200"/>
      </w:pPr>
      <w:r>
        <w:t xml:space="preserve">Défauts d'utilisation — Plusieurs stations laissent en pratique certains canaux de trafic courant non chiffrés par commodité, afin de simplifier les échanges répétitifs avec des opérateurs réguliers. Ce constat, bien que rarement documenté formellement par les stations elles-mêmes, a été confirmé par recoupement des journaux techniques disponibles. L'équipe d'audit note également, sans que cela relève à proprement parler d'une vulnérabilité de sécurité, une pratique répandue de réallocation locale de plages de fréquences excédentaires par les administrateurs de station, en dehors du cadre budgétaire officiel — pratique qui, si elle ne compromet pas directement le chiffrement, complique le suivi centralisé des attributions de fréquence.</w:t>
      </w:r>
    </w:p>
    <w:p>
      <w:pPr>
        <w:pStyle w:val="Heading2"/>
        <w:spacing w:after="150" w:before="250"/>
      </w:pPr>
      <w:r>
        <w:rPr>
          <w:b/>
          <w:bCs/>
          <w:color w:val="3A3F44"/>
          <w:sz w:val="22"/>
          <w:szCs w:val="22"/>
        </w:rPr>
        <w:t xml:space="preserve">4.3 Réseau informatique interne</w:t>
      </w:r>
    </w:p>
    <w:p>
      <w:pPr>
        <w:spacing w:after="200"/>
      </w:pPr>
      <w:r>
        <w:t xml:space="preserve">Défauts techniques — L'audit relève une hétérogénéité importante dans le degré de segmentation des réseaux internes de station. Un nombre significatif de stations de l'échantillon ne disposent d'aucune isolation véritable entre les systèmes de gestion commerciale courante et les systèmes critiques (contrôle environnemental, gestion de l'énergie, registres sensibles), ces derniers demeurant accessibles depuis le même réseau plat que les postes de travail administratifs courants. La station Kessel-Tho fait partie des exceptions positives relevées : ses systèmes critiques sont isolés sur un segment réseau distinct (zone démilitarisée), conformément aux recommandations sectorielles, ce qui limite l'exposition de ces systèmes en cas de compromission d'un poste de travail standard.</w:t>
      </w:r>
    </w:p>
    <w:p>
      <w:pPr>
        <w:spacing w:after="200"/>
      </w:pPr>
      <w:r>
        <w:t xml:space="preserve">Défauts d'utilisation — Les entretiens menés font apparaître une persistance des identifiants par défaut sur une partie non négligeable des postes de travail commerciaux, ainsi qu'une pratique généralisée de sessions laissées ouvertes sans verrouillage lors des changements de quart. Ces manquements, bien que mineurs pris isolément, cumulent un risque non négligeable sur la durée.</w:t>
      </w:r>
    </w:p>
    <w:p>
      <w:pPr>
        <w:pStyle w:val="Heading2"/>
        <w:spacing w:after="150" w:before="250"/>
      </w:pPr>
      <w:r>
        <w:rPr>
          <w:b/>
          <w:bCs/>
          <w:color w:val="3A3F44"/>
          <w:sz w:val="22"/>
          <w:szCs w:val="22"/>
        </w:rPr>
        <w:t xml:space="preserve">4.4 Comlinks personnels</w:t>
      </w:r>
    </w:p>
    <w:p>
      <w:pPr>
        <w:spacing w:after="200"/>
      </w:pPr>
      <w:r>
        <w:t xml:space="preserve">Défauts techniques — Le matériel de communication portable en dotation standard, de gamme commerciale courante, ne dispose généralement d'aucune capacité de chiffrement native, ce qui n'est pas en soi anormal compte tenu de son usage prévu pour des communications non sensibles.</w:t>
      </w:r>
    </w:p>
    <w:p>
      <w:pPr>
        <w:spacing w:after="200"/>
      </w:pPr>
      <w:r>
        <w:t xml:space="preserve">Défauts d'utilisation — C'est sur ce point que l'audit relève les manquements les plus systématiques. Le contrôle par sondage a révélé plusieurs cas de comlinks personnels utilisés pour des communications à caractère professionnel sensible, en dehors de tout cadre prévu à cet effet. Plus préoccupant, la procédure de déclaration et de désactivation des appareils perdus ou volés n'est que très inégalement suivie : sur l'échantillon contrôlé, plusieurs stations ne disposent d'aucun registre à jour des appareils déclarés hors service, et au moins deux cas d'appareils non désactivés plusieurs cycles après leur perte ont été identifiés.</w:t>
      </w:r>
    </w:p>
    <w:p>
      <w:pPr>
        <w:pStyle w:val="Heading1"/>
        <w:spacing w:after="200" w:before="300"/>
      </w:pPr>
      <w:r>
        <w:rPr>
          <w:b/>
          <w:bCs/>
          <w:color w:val="3A3F44"/>
        </w:rPr>
        <w:t xml:space="preserve">5. SYNTHÈSE DES CONSTATS</w:t>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638"/>
      </w:tblGrid>
      <w:tr>
        <w:tc>
          <w:tcPr>
            <w:tcW w:type="dxa" w:w="24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Mode</w:t>
            </w:r>
          </w:p>
        </w:tc>
        <w:tc>
          <w:tcPr>
            <w:tcW w:type="dxa" w:w="21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Sévérité — technique</w:t>
            </w:r>
          </w:p>
        </w:tc>
        <w:tc>
          <w:tcPr>
            <w:tcW w:type="dxa" w:w="21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Sévérité — utilisation</w:t>
            </w:r>
          </w:p>
        </w:tc>
        <w:tc>
          <w:tcPr>
            <w:tcW w:type="dxa" w:w="2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Tendance</w:t>
            </w:r>
          </w:p>
        </w:tc>
      </w:tr>
      <w:tr>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Holonet</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Modérée</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Faible</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Stable</w:t>
            </w:r>
          </w:p>
        </w:tc>
      </w:tr>
      <w:tr>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Radio commerciale (CCS-4)</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Modérée à élevée</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Modérée</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En légère hausse</w:t>
            </w:r>
          </w:p>
        </w:tc>
      </w:tr>
      <w:tr>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Réseau interne</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Faible à modérée (variable)</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Modérée</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Stable</w:t>
            </w:r>
          </w:p>
        </w:tc>
      </w:tr>
      <w:tr>
        <w:tc>
          <w:tcPr>
            <w:tcW w:type="dxa" w:w="2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Comlinks personnels</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Faible (attendue)</w:t>
            </w:r>
          </w:p>
        </w:tc>
        <w:tc>
          <w:tcPr>
            <w:tcW w:type="dxa" w:w="21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Élevée</w:t>
            </w:r>
          </w:p>
        </w:tc>
        <w:tc>
          <w:tcPr>
            <w:tcW w:type="dxa" w:w="2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En hausse</w:t>
            </w:r>
          </w:p>
        </w:tc>
      </w:tr>
    </w:tbl>
    <w:p>
      <w:pPr>
        <w:spacing w:after="200"/>
      </w:pPr>
      <w:r>
        <w:t xml:space="preserve">Il ressort de cette synthèse que les vulnérabilités les plus significatives à l'échelle du secteur ne relèvent pas, dans leur majorité, de défaillances matérielles, mais de pratiques d'utilisation non conformes, en particulier concernant le matériel de communication portable individuel.</w:t>
      </w:r>
    </w:p>
    <w:p>
      <w:pPr>
        <w:pStyle w:val="Heading1"/>
        <w:spacing w:after="200" w:before="300"/>
      </w:pPr>
      <w:r>
        <w:rPr>
          <w:b/>
          <w:bCs/>
          <w:color w:val="3A3F44"/>
        </w:rPr>
        <w:t xml:space="preserve">6. RECOMMANDATIONS</w:t>
      </w:r>
    </w:p>
    <w:p>
      <w:pPr>
        <w:spacing w:after="200"/>
      </w:pPr>
      <w:r>
        <w:t xml:space="preserve">6.1 — Procéder à la mise à jour du micrologiciel CCS-4 des stations concernées dans un délai de deux cycles, selon la priorisation par volume de trafic commercial déjà proposée en annexe de la version 1.0 du présent document.</w:t>
      </w:r>
    </w:p>
    <w:p>
      <w:pPr>
        <w:spacing w:after="200"/>
      </w:pPr>
      <w:r>
        <w:t xml:space="preserve">6.2 — Instaurer une politique de changement régulier des clés de chiffrement sur l'ensemble des canaux commerciaux, à une fréquence minimale à définir par le Bureau Technique Sectoriel, plutôt que de reconduire des clés statiques sur plusieurs cycles consécutifs.</w:t>
      </w:r>
    </w:p>
    <w:p>
      <w:pPr>
        <w:spacing w:after="200"/>
      </w:pPr>
      <w:r>
        <w:t xml:space="preserve">6.3 — Généraliser la dérivation de clés spécifiques par client ou partenaire commercial régulier, plutôt que l'usage d'une clé unique partagée à l'échelle de la station, afin de limiter l'impact d'une compromission isolée.</w:t>
      </w:r>
    </w:p>
    <w:p>
      <w:pPr>
        <w:spacing w:after="200"/>
      </w:pPr>
      <w:r>
        <w:t xml:space="preserve">6.4 — Rendre obligatoire, sous peine de sanction disciplinaire, la déclaration et la désactivation à distance de tout comlink personnel perdu ou volé dans un délai de vingt-quatre heures suivant sa constatation.</w:t>
      </w:r>
    </w:p>
    <w:p>
      <w:pPr>
        <w:spacing w:after="200"/>
      </w:pPr>
      <w:r>
        <w:t xml:space="preserve">6.5 — Étendre à l'ensemble des stations de la zone d'expansion le modèle de segmentation réseau déjà en place sur les stations les plus avancées en la matière, dont Kessel-Tho, afin d'isoler durablement les systèmes critiques du réseau commercial courant.</w:t>
      </w:r>
    </w:p>
    <w:p>
      <w:pPr>
        <w:spacing w:after="200"/>
      </w:pPr>
      <w:r>
        <w:t xml:space="preserve">6.6 — Rappeler au personnel d'encadrement, par voie de note de service, l'interdiction de l'usage de terminaux d'authentification partagés et de sessions non verrouillées, et intégrer ce point aux inspections de routine à venir.</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IMP-CSK-AUD-007</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IMP-CSK-AUD-007</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2026-07-12T18:06:20.684Z</dcterms:created>
  <dcterms:modified xsi:type="dcterms:W3CDTF">2026-07-12T18:06:20.702Z</dcterms:modified>
</cp:coreProperties>
</file>

<file path=docProps/custom.xml><?xml version="1.0" encoding="utf-8"?>
<Properties xmlns="http://schemas.openxmlformats.org/officeDocument/2006/custom-properties" xmlns:vt="http://schemas.openxmlformats.org/officeDocument/2006/docPropsVTypes"/>
</file>