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color w:val="3A3F44"/>
          <w:sz w:val="36"/>
          <w:szCs w:val="36"/>
        </w:rPr>
        <w:t xml:space="preserve">CORRESPONDANCE — RENOUVELLEMENT DE LICENCE D'EXPLOITATION</w:t>
      </w:r>
    </w:p>
    <w:p>
      <w:pPr>
        <w:spacing w:after="600"/>
        <w:jc w:val="center"/>
      </w:pPr>
      <w:r>
        <w:rPr>
          <w:rFonts w:ascii="Arial" w:cs="Arial" w:eastAsia="Arial" w:hAnsi="Arial"/>
          <w:i/>
          <w:iCs/>
          <w:sz w:val="20"/>
          <w:szCs w:val="20"/>
        </w:rPr>
        <w:t xml:space="preserve">Référence : IMP-CSK-COR-022</w:t>
      </w:r>
    </w:p>
    <w:p>
      <w:pPr>
        <w:spacing w:after="200" w:before="400"/>
      </w:pPr>
      <w:r>
        <w:rPr>
          <w:rFonts w:ascii="Arial" w:cs="Arial" w:eastAsia="Arial" w:hAnsi="Arial"/>
          <w:b/>
          <w:bCs/>
          <w:color w:val="3A3F44"/>
          <w:sz w:val="24"/>
          <w:szCs w:val="24"/>
        </w:rPr>
        <w:t xml:space="preserve">SUIVI DES VERSIONS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800"/>
        <w:gridCol w:w="3538"/>
      </w:tblGrid>
      <w:tr>
        <w:tc>
          <w:tcPr>
            <w:tcW w:type="dxa" w:w="15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Version</w:t>
            </w:r>
          </w:p>
        </w:tc>
        <w:tc>
          <w:tcPr>
            <w:tcW w:type="dxa" w:w="18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Date</w:t>
            </w:r>
          </w:p>
        </w:tc>
        <w:tc>
          <w:tcPr>
            <w:tcW w:type="dxa" w:w="28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Auteur</w:t>
            </w:r>
          </w:p>
        </w:tc>
        <w:tc>
          <w:tcPr>
            <w:tcW w:type="dxa" w:w="3538"/>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Nature de la modification</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1.0</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Cycle 17</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Administration station Kessel-Tho / Bureau des Licences</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Compilation initiale des échanges</w:t>
            </w:r>
          </w:p>
        </w:tc>
      </w:tr>
      <w:tr>
        <w:tc>
          <w:tcPr>
            <w:tcW w:type="dxa" w:w="15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2.0</w:t>
            </w:r>
          </w:p>
        </w:tc>
        <w:tc>
          <w:tcPr>
            <w:tcW w:type="dxa" w:w="1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Cycle 17</w:t>
            </w:r>
          </w:p>
        </w:tc>
        <w:tc>
          <w:tcPr>
            <w:tcW w:type="dxa" w:w="28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Administration station Kessel-Tho / Bureau des Licences</w:t>
            </w:r>
          </w:p>
        </w:tc>
        <w:tc>
          <w:tcPr>
            <w:tcW w:type="dxa" w:w="35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Ajout des échanges complémentaires relatifs à l'extension de capacité</w:t>
            </w:r>
          </w:p>
        </w:tc>
      </w:tr>
    </w:tbl>
    <w:p>
      <w:pPr>
        <w:spacing w:after="200" w:before="500"/>
      </w:pPr>
      <w:r>
        <w:rPr>
          <w:rFonts w:ascii="Arial" w:cs="Arial" w:eastAsia="Arial" w:hAnsi="Arial"/>
          <w:b/>
          <w:bCs/>
          <w:color w:val="3A3F44"/>
          <w:sz w:val="24"/>
          <w:szCs w:val="24"/>
        </w:rPr>
        <w:t xml:space="preserve">CLASSIFICATION ET DIFFUSION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c>
          <w:tcPr>
            <w:tcW w:type="dxa" w:w="3000"/>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Niveau</w:t>
            </w:r>
          </w:p>
        </w:tc>
        <w:tc>
          <w:tcPr>
            <w:tcW w:type="dxa" w:w="6638"/>
            <w:tcBorders>
              <w:top w:val="single" w:color="999999" w:sz="2"/>
              <w:left w:val="single" w:color="999999" w:sz="2"/>
              <w:bottom w:val="single" w:color="999999" w:sz="2"/>
              <w:right w:val="single" w:color="999999" w:sz="2"/>
            </w:tcBorders>
            <w:shd w:fill="D9D9D9" w:val="clear"/>
          </w:tcPr>
          <w:p>
            <w:r>
              <w:rPr>
                <w:rFonts w:ascii="Arial" w:cs="Arial" w:eastAsia="Arial" w:hAnsi="Arial"/>
                <w:b/>
                <w:bCs/>
                <w:sz w:val="16"/>
                <w:szCs w:val="16"/>
              </w:rPr>
              <w:t xml:space="preserve">Distribution autorisée</w:t>
            </w:r>
          </w:p>
        </w:tc>
      </w:tr>
      <w:tr>
        <w:tc>
          <w:tcPr>
            <w:tcW w:type="dxa" w:w="3000"/>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Diffusion restreinte</w:t>
            </w:r>
          </w:p>
        </w:tc>
        <w:tc>
          <w:tcPr>
            <w:tcW w:type="dxa" w:w="6638"/>
            <w:tcBorders>
              <w:top w:val="single" w:color="999999" w:sz="2"/>
              <w:left w:val="single" w:color="999999" w:sz="2"/>
              <w:bottom w:val="single" w:color="999999" w:sz="2"/>
              <w:right w:val="single" w:color="999999" w:sz="2"/>
            </w:tcBorders>
          </w:tcPr>
          <w:p>
            <w:r>
              <w:rPr>
                <w:rFonts w:ascii="Arial" w:cs="Arial" w:eastAsia="Arial" w:hAnsi="Arial"/>
                <w:sz w:val="16"/>
                <w:szCs w:val="16"/>
              </w:rPr>
              <w:t xml:space="preserve">Administration de station, Bureau des Licences de Communication</w:t>
            </w:r>
          </w:p>
        </w:tc>
      </w:tr>
    </w:tbl>
    <w:p>
      <w:r>
        <w:br w:type="page"/>
      </w:r>
    </w:p>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spacing w:after="200" w:before="300"/>
      </w:pPr>
      <w:r>
        <w:rPr>
          <w:b/>
          <w:bCs/>
          <w:color w:val="3A3F44"/>
        </w:rPr>
        <w:t xml:space="preserve">ÉCHANGE 1 — DEMANDE DE RENOUVELLEMENT</w:t>
      </w:r>
    </w:p>
    <w:p>
      <w:pPr>
        <w:spacing w:after="60"/>
      </w:pPr>
      <w:r>
        <w:rPr>
          <w:i/>
          <w:iCs/>
          <w:color w:val="555555"/>
          <w:sz w:val="18"/>
          <w:szCs w:val="18"/>
        </w:rPr>
        <w:t xml:space="preserve">De : Administrateur J. Kallan, station relais Kessel-Tho  —  À : Bureau des Licences de Communication, secteur Kessel  —  Objet : Renouvellement de la licence d'exploitation des fréquences — dossier KTH-LIC-2288</w:t>
      </w:r>
    </w:p>
    <w:p>
      <w:pPr>
        <w:spacing w:after="200"/>
      </w:pPr>
      <w:r>
        <w:t xml:space="preserve">Conformément à l'échéance réglementaire, je sollicite le renouvellement de la licence d'exploitation de la station Kessel-Tho pour le cycle à venir. L'ensemble des redevances dues a été acquitté à la date du présent courrier. Aucune modification de la capacité déclarée n'est demandée.</w:t>
      </w:r>
    </w:p>
    <w:p>
      <w:pPr>
        <w:pStyle w:val="Heading1"/>
        <w:spacing w:after="200" w:before="300"/>
      </w:pPr>
      <w:r>
        <w:rPr>
          <w:b/>
          <w:bCs/>
          <w:color w:val="3A3F44"/>
        </w:rPr>
        <w:t xml:space="preserve">ÉCHANGE 2 — ACCUSÉ DE RÉCEPTION ET DEMANDE DE PRÉCISIONS</w:t>
      </w:r>
    </w:p>
    <w:p>
      <w:pPr>
        <w:spacing w:after="60"/>
      </w:pPr>
      <w:r>
        <w:rPr>
          <w:i/>
          <w:iCs/>
          <w:color w:val="555555"/>
          <w:sz w:val="18"/>
          <w:szCs w:val="18"/>
        </w:rPr>
        <w:t xml:space="preserve">De : Bureau des Licences de Communication  —  À : Administrateur J. Kallan</w:t>
      </w:r>
    </w:p>
    <w:p>
      <w:pPr>
        <w:spacing w:after="200"/>
      </w:pPr>
      <w:r>
        <w:t xml:space="preserve">Votre dossier a bien été reçu et est en cours de traitement. Nous notons dans le registre sectoriel la mention d'un incident de sécurité mineur survenu au cours du cycle précédent sur votre station. Merci de confirmer qu'aucune conséquence n'affecte la capacité d'exploitation déclarée avant finalisation du renouvellement.</w:t>
      </w:r>
    </w:p>
    <w:p>
      <w:pPr>
        <w:pStyle w:val="Heading1"/>
        <w:spacing w:after="200" w:before="300"/>
      </w:pPr>
      <w:r>
        <w:rPr>
          <w:b/>
          <w:bCs/>
          <w:color w:val="3A3F44"/>
        </w:rPr>
        <w:t xml:space="preserve">ÉCHANGE 3 — RÉPONSE SUR L'INCIDENT</w:t>
      </w:r>
    </w:p>
    <w:p>
      <w:pPr>
        <w:spacing w:after="60"/>
      </w:pPr>
      <w:r>
        <w:rPr>
          <w:i/>
          <w:iCs/>
          <w:color w:val="555555"/>
          <w:sz w:val="18"/>
          <w:szCs w:val="18"/>
        </w:rPr>
        <w:t xml:space="preserve">De : Administrateur J. Kallan  —  À : Bureau des Licences de Communication</w:t>
      </w:r>
    </w:p>
    <w:p>
      <w:pPr>
        <w:spacing w:after="200"/>
      </w:pPr>
      <w:r>
        <w:t xml:space="preserve">L'incident mentionné concernait une coupure de courant mineure sans rapport avec l'exploitation des fréquences commerciales. Aucun impact sur la capacité déclarée. Je reste à votre disposition pour tout complément d'information nécessaire au traitement du dossier.</w:t>
      </w:r>
    </w:p>
    <w:p>
      <w:pPr>
        <w:pStyle w:val="Heading1"/>
        <w:spacing w:after="200" w:before="300"/>
      </w:pPr>
      <w:r>
        <w:rPr>
          <w:b/>
          <w:bCs/>
          <w:color w:val="3A3F44"/>
        </w:rPr>
        <w:t xml:space="preserve">ÉCHANGE 4 — OBSERVATION COMPLÉMENTAIRE</w:t>
      </w:r>
    </w:p>
    <w:p>
      <w:pPr>
        <w:spacing w:after="60"/>
      </w:pPr>
      <w:r>
        <w:rPr>
          <w:i/>
          <w:iCs/>
          <w:color w:val="555555"/>
          <w:sz w:val="18"/>
          <w:szCs w:val="18"/>
        </w:rPr>
        <w:t xml:space="preserve">De : Bureau des Licences de Communication  —  À : Administrateur J. Kallan</w:t>
      </w:r>
    </w:p>
    <w:p>
      <w:pPr>
        <w:spacing w:after="200"/>
      </w:pPr>
      <w:r>
        <w:t xml:space="preserve">Votre réponse a été versée au dossier. Nous portons toutefois à votre attention un second point, distinct du précédent : les relevés de trafic transmis par nos services font apparaître, sur plusieurs cycles consécutifs, des schémas d'allocation de fréquences sensiblement supérieurs à la capacité déclarée pour votre station. Une telle situation, si elle devait se confirmer, pourrait justifier une inspection complémentaire sur site avant toute décision de renouvellement, conformément à la procédure applicable en cas d'écart non expliqué entre capacité déclarée et usage constaté.</w:t>
      </w:r>
    </w:p>
    <w:p>
      <w:pPr>
        <w:spacing w:after="200"/>
      </w:pPr>
      <w:r>
        <w:t xml:space="preserve">Nous vous saurions gré de bien vouloir clarifier ce point dans les meilleurs délais, afin d'éviter tout retard dans le traitement de votre dossier.</w:t>
      </w:r>
    </w:p>
    <w:p>
      <w:pPr>
        <w:pStyle w:val="Heading1"/>
        <w:spacing w:after="200" w:before="300"/>
      </w:pPr>
      <w:r>
        <w:rPr>
          <w:b/>
          <w:bCs/>
          <w:color w:val="3A3F44"/>
        </w:rPr>
        <w:t xml:space="preserve">ÉCHANGE 5 — RÉPONSE DE L'ADMINISTRATEUR</w:t>
      </w:r>
    </w:p>
    <w:p>
      <w:pPr>
        <w:spacing w:after="60"/>
      </w:pPr>
      <w:r>
        <w:rPr>
          <w:i/>
          <w:iCs/>
          <w:color w:val="555555"/>
          <w:sz w:val="18"/>
          <w:szCs w:val="18"/>
        </w:rPr>
        <w:t xml:space="preserve">De : Administrateur J. Kallan  —  À : Bureau des Licences de Communication</w:t>
      </w:r>
    </w:p>
    <w:p>
      <w:pPr>
        <w:spacing w:after="200"/>
      </w:pPr>
      <w:r>
        <w:t xml:space="preserve">Je vous remercie de porter ce point à mon attention. La croissance du trafic indépendant transitant par notre position, propre à toute station excentrée de la zone d'expansion, a effectivement conduit à un usage un peu supérieur aux plafonds fixés il y a plusieurs cycles — un simple décalage administratif entre la réalité du terrain et une capacité déclarée qui, je le concède, mériterait d'être révisée pour mieux refléter l'activité réelle de la station.</w:t>
      </w:r>
    </w:p>
    <w:p>
      <w:pPr>
        <w:spacing w:after="200"/>
      </w:pPr>
      <w:r>
        <w:t xml:space="preserve">Plutôt que de mobiliser vos services pour une vérification sur place qui, j'en suis certain, ne révélerait rien de plus qu'un dossier à mettre à jour, je serais disposé à ajuster proportionnellement le coût de la licence en contrepartie d'une extension formelle de la capacité de fréquences allouée à la station. Cette solution me semble de nature à régulariser la situation à la satisfaction de toutes les parties, sans qu'il soit nécessaire d'engager de ressources supplémentaires pour une affaire, somme toute, mineure et purement administrative.</w:t>
      </w:r>
    </w:p>
    <w:p>
      <w:pPr>
        <w:pStyle w:val="Heading1"/>
        <w:spacing w:after="200" w:before="300"/>
      </w:pPr>
      <w:r>
        <w:rPr>
          <w:b/>
          <w:bCs/>
          <w:color w:val="3A3F44"/>
        </w:rPr>
        <w:t xml:space="preserve">ÉCHANGE 6 — ACCORD DE PRINCIPE</w:t>
      </w:r>
    </w:p>
    <w:p>
      <w:pPr>
        <w:spacing w:after="60"/>
      </w:pPr>
      <w:r>
        <w:rPr>
          <w:i/>
          <w:iCs/>
          <w:color w:val="555555"/>
          <w:sz w:val="18"/>
          <w:szCs w:val="18"/>
        </w:rPr>
        <w:t xml:space="preserve">De : Bureau des Licences de Communication  —  À : Administrateur J. Kallan</w:t>
      </w:r>
    </w:p>
    <w:p>
      <w:pPr>
        <w:spacing w:after="200"/>
      </w:pPr>
      <w:r>
        <w:t xml:space="preserve">Le Bureau prend bonne note de votre proposition. Après examen, il apparaît en effet qu'une extension de la capacité déclarée, assortie de l'ajustement tarifaire correspondant, répond de manière satisfaisante au point soulevé dans notre précédent courrier. Il n'est, dans ces conditions, pas jugé nécessaire de donner suite à l'hypothèse d'une inspection complémentaire évoquée précédemment.</w:t>
      </w:r>
    </w:p>
    <w:p>
      <w:pPr>
        <w:spacing w:after="200"/>
      </w:pPr>
      <w:r>
        <w:t xml:space="preserve">Le dossier sera traité en conséquence dès réception du complément tarifaire correspondant à la nouvelle capacité déclarée.</w:t>
      </w:r>
    </w:p>
    <w:p>
      <w:pPr>
        <w:pStyle w:val="Heading1"/>
        <w:spacing w:after="200" w:before="300"/>
      </w:pPr>
      <w:r>
        <w:rPr>
          <w:b/>
          <w:bCs/>
          <w:color w:val="3A3F44"/>
        </w:rPr>
        <w:t xml:space="preserve">ÉCHANGE 7 — CLÔTURE DU DOSSIER</w:t>
      </w:r>
    </w:p>
    <w:p>
      <w:pPr>
        <w:spacing w:after="60"/>
      </w:pPr>
      <w:r>
        <w:rPr>
          <w:i/>
          <w:iCs/>
          <w:color w:val="555555"/>
          <w:sz w:val="18"/>
          <w:szCs w:val="18"/>
        </w:rPr>
        <w:t xml:space="preserve">De : Bureau des Licences de Communication  —  À : Administrateur J. Kallan</w:t>
      </w:r>
    </w:p>
    <w:p>
      <w:pPr>
        <w:spacing w:after="200"/>
      </w:pPr>
      <w:r>
        <w:t xml:space="preserve">Le complément tarifaire a bien été reçu. La licence d'exploitation de la station Kessel-Tho est renouvelée pour le cycle à venir, capacité de fréquences étendue conformément à l'accord intervenu entre nos services. Dossier KTH-LIC-2288 classé sans suite complémentaire.</w:t>
      </w:r>
    </w:p>
    <w:sectPr>
      <w:headerReference w:type="default" r:id="rId9"/>
      <w:footerReference w:type="default" r:id="rId10"/>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3A3F44"/>
        <w:sz w:val="14"/>
        <w:szCs w:val="14"/>
      </w:rPr>
      <w:t xml:space="preserve">Réf. Doc. IMP-CSK-COR-022</w:t>
    </w:r>
    <w:r>
      <w:rPr>
        <w:rFonts w:ascii="Arial" w:cs="Arial" w:eastAsia="Arial" w:hAnsi="Arial"/>
        <w:color w:val="3A3F44"/>
        <w:sz w:val="14"/>
        <w:szCs w:val="14"/>
      </w:rPr>
      <w:t xml:space="preserve">	Page </w:t>
    </w:r>
    <w:r>
      <w:rPr>
        <w:rFonts w:ascii="Arial" w:cs="Arial" w:eastAsia="Arial" w:hAnsi="Arial"/>
        <w:color w:val="3A3F44"/>
        <w:sz w:val="14"/>
        <w:szCs w:val="14"/>
      </w:rPr>
      <w:fldChar w:fldCharType="begin"/>
      <w:instrText xml:space="preserve">PAGE</w:instrText>
      <w:fldChar w:fldCharType="separate"/>
      <w:fldChar w:fldCharType="end"/>
    </w:r>
    <w:r>
      <w:rPr>
        <w:rFonts w:ascii="Arial" w:cs="Arial" w:eastAsia="Arial" w:hAnsi="Arial"/>
        <w:color w:val="3A3F44"/>
        <w:sz w:val="14"/>
        <w:szCs w:val="14"/>
      </w:rPr>
      <w:t xml:space="preserve"> / </w:t>
    </w:r>
    <w:r>
      <w:rPr>
        <w:rFonts w:ascii="Arial" w:cs="Arial" w:eastAsia="Arial" w:hAnsi="Arial"/>
        <w:color w:val="3A3F44"/>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3A3F44"/>
        <w:sz w:val="14"/>
        <w:szCs w:val="14"/>
      </w:rPr>
      <w:t xml:space="preserve">Réf. Doc. IMP-CSK-COR-022</w:t>
    </w:r>
    <w:r>
      <w:rPr>
        <w:rFonts w:ascii="Arial" w:cs="Arial" w:eastAsia="Arial" w:hAnsi="Arial"/>
        <w:color w:val="3A3F44"/>
        <w:sz w:val="14"/>
        <w:szCs w:val="14"/>
      </w:rPr>
      <w:t xml:space="preserve">	Page </w:t>
    </w:r>
    <w:r>
      <w:rPr>
        <w:rFonts w:ascii="Arial" w:cs="Arial" w:eastAsia="Arial" w:hAnsi="Arial"/>
        <w:color w:val="3A3F44"/>
        <w:sz w:val="14"/>
        <w:szCs w:val="14"/>
      </w:rPr>
      <w:fldChar w:fldCharType="begin"/>
      <w:instrText xml:space="preserve">PAGE</w:instrText>
      <w:fldChar w:fldCharType="separate"/>
      <w:fldChar w:fldCharType="end"/>
    </w:r>
    <w:r>
      <w:rPr>
        <w:rFonts w:ascii="Arial" w:cs="Arial" w:eastAsia="Arial" w:hAnsi="Arial"/>
        <w:color w:val="3A3F44"/>
        <w:sz w:val="14"/>
        <w:szCs w:val="14"/>
      </w:rPr>
      <w:t xml:space="preserve"> / </w:t>
    </w:r>
    <w:r>
      <w:rPr>
        <w:rFonts w:ascii="Arial" w:cs="Arial" w:eastAsia="Arial" w:hAnsi="Arial"/>
        <w:color w:val="3A3F44"/>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3A3F44"/>
        <w:sz w:val="16"/>
        <w:szCs w:val="16"/>
      </w:rPr>
      <w:t xml:space="preserve">GOUVERNEMENT IMPÉRIAL — BUREAU DE LA COMMUNICATION SECTORIELLE</w:t>
    </w:r>
  </w:p>
  <w:p>
    <w:pPr>
      <w:pBdr>
        <w:bottom w:val="single" w:color="3A3F44" w:sz="6"/>
      </w:pBdr>
      <w:jc w:val="center"/>
    </w:pPr>
    <w:r>
      <w:rPr>
        <w:rFonts w:ascii="Arial" w:cs="Arial" w:eastAsia="Arial" w:hAnsi="Arial"/>
        <w:b/>
        <w:bCs/>
        <w:color w:val="8B0000"/>
        <w:sz w:val="16"/>
        <w:szCs w:val="16"/>
      </w:rPr>
      <w:t xml:space="preserve">DIFFUSION RESTREINTE — USAGE INTERNE UNIQUEMENT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b/>
        <w:bCs/>
        <w:color w:val="3A3F44"/>
        <w:sz w:val="16"/>
        <w:szCs w:val="16"/>
      </w:rPr>
      <w:t xml:space="preserve">GOUVERNEMENT IMPÉRIAL — BUREAU DE LA COMMUNICATION SECTORIELLE</w:t>
    </w:r>
  </w:p>
  <w:p>
    <w:pPr>
      <w:pBdr>
        <w:bottom w:val="single" w:color="3A3F44" w:sz="6"/>
      </w:pBdr>
      <w:jc w:val="center"/>
    </w:pPr>
    <w:r>
      <w:rPr>
        <w:rFonts w:ascii="Arial" w:cs="Arial" w:eastAsia="Arial" w:hAnsi="Arial"/>
        <w:b/>
        <w:bCs/>
        <w:color w:val="8B0000"/>
        <w:sz w:val="16"/>
        <w:szCs w:val="16"/>
      </w:rPr>
      <w:t xml:space="preserve">DIFFUSION RESTREINTE — USAGE INTERNE UNIQUEMENT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2026-07-13T07:54:14.356Z</dcterms:created>
  <dcterms:modified xsi:type="dcterms:W3CDTF">2026-07-13T07:54:14.368Z</dcterms:modified>
</cp:coreProperties>
</file>

<file path=docProps/custom.xml><?xml version="1.0" encoding="utf-8"?>
<Properties xmlns="http://schemas.openxmlformats.org/officeDocument/2006/custom-properties" xmlns:vt="http://schemas.openxmlformats.org/officeDocument/2006/docPropsVTypes"/>
</file>