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3A3F44"/>
          <w:sz w:val="36"/>
          <w:szCs w:val="36"/>
        </w:rPr>
        <w:t xml:space="preserve">REGISTRE DES MOUVEMENTS DE VAISSEAUX — STATION KESSEL-THO</w:t>
      </w:r>
    </w:p>
    <w:p>
      <w:pPr>
        <w:spacing w:after="600"/>
        <w:jc w:val="center"/>
      </w:pPr>
      <w:r>
        <w:rPr>
          <w:rFonts w:ascii="Arial" w:cs="Arial" w:eastAsia="Arial" w:hAnsi="Arial"/>
          <w:i/>
          <w:iCs/>
          <w:sz w:val="20"/>
          <w:szCs w:val="20"/>
        </w:rPr>
        <w:t xml:space="preserve">Référence : IMP-KTH-MAN-011</w:t>
      </w:r>
    </w:p>
    <w:p>
      <w:pPr>
        <w:spacing w:after="200" w:before="400"/>
      </w:pPr>
      <w:r>
        <w:rPr>
          <w:rFonts w:ascii="Arial" w:cs="Arial" w:eastAsia="Arial" w:hAnsi="Arial"/>
          <w:b/>
          <w:bCs/>
          <w:color w:val="3A3F44"/>
          <w:sz w:val="24"/>
          <w:szCs w:val="24"/>
        </w:rPr>
        <w:t xml:space="preserve">SUIVI DES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800"/>
        <w:gridCol w:w="3538"/>
      </w:tblGrid>
      <w:tr>
        <w:tc>
          <w:tcPr>
            <w:tcW w:type="dxa" w:w="15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5"/>
                <w:szCs w:val="15"/>
              </w:rPr>
              <w:t xml:space="preserve">Version</w:t>
            </w:r>
          </w:p>
        </w:tc>
        <w:tc>
          <w:tcPr>
            <w:tcW w:type="dxa" w:w="18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5"/>
                <w:szCs w:val="15"/>
              </w:rPr>
              <w:t xml:space="preserve">Date</w:t>
            </w:r>
          </w:p>
        </w:tc>
        <w:tc>
          <w:tcPr>
            <w:tcW w:type="dxa" w:w="28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5"/>
                <w:szCs w:val="15"/>
              </w:rPr>
              <w:t xml:space="preserve">Auteur</w:t>
            </w:r>
          </w:p>
        </w:tc>
        <w:tc>
          <w:tcPr>
            <w:tcW w:type="dxa" w:w="3538"/>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5"/>
                <w:szCs w:val="15"/>
              </w:rPr>
              <w:t xml:space="preserve">Nature de la modification</w:t>
            </w:r>
          </w:p>
        </w:tc>
      </w:tr>
      <w:tr>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1.0</w:t>
            </w:r>
          </w:p>
        </w:tc>
        <w:tc>
          <w:tcPr>
            <w:tcW w:type="dxa" w:w="18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Cycles 16 à 19</w:t>
            </w:r>
          </w:p>
        </w:tc>
        <w:tc>
          <w:tcPr>
            <w:tcW w:type="dxa" w:w="28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Service logistique — station Kessel-Tho</w:t>
            </w:r>
          </w:p>
        </w:tc>
        <w:tc>
          <w:tcPr>
            <w:tcW w:type="dxa" w:w="3538"/>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Registre continu — format tonnage</w:t>
            </w:r>
          </w:p>
        </w:tc>
      </w:tr>
      <w:tr>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2.0</w:t>
            </w:r>
          </w:p>
        </w:tc>
        <w:tc>
          <w:tcPr>
            <w:tcW w:type="dxa" w:w="18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Cycle 19 / J.211</w:t>
            </w:r>
          </w:p>
        </w:tc>
        <w:tc>
          <w:tcPr>
            <w:tcW w:type="dxa" w:w="28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Service logistique — station Kessel-Tho</w:t>
            </w:r>
          </w:p>
        </w:tc>
        <w:tc>
          <w:tcPr>
            <w:tcW w:type="dxa" w:w="3538"/>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Refonte du format — distinction trafic régulier / mouvements notables, recentré sur le cycle 19</w:t>
            </w:r>
          </w:p>
        </w:tc>
      </w:tr>
      <w:tr>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3.0</w:t>
            </w:r>
          </w:p>
        </w:tc>
        <w:tc>
          <w:tcPr>
            <w:tcW w:type="dxa" w:w="18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Cycle 19 / J.211</w:t>
            </w:r>
          </w:p>
        </w:tc>
        <w:tc>
          <w:tcPr>
            <w:tcW w:type="dxa" w:w="28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Service logistique — station Kessel-Tho</w:t>
            </w:r>
          </w:p>
        </w:tc>
        <w:tc>
          <w:tcPr>
            <w:tcW w:type="dxa" w:w="3538"/>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Réintégration des mouvements notables des cycles 16 à 18, sur le même modèle</w:t>
            </w:r>
          </w:p>
        </w:tc>
      </w:tr>
      <w:tr>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3.1</w:t>
            </w:r>
          </w:p>
        </w:tc>
        <w:tc>
          <w:tcPr>
            <w:tcW w:type="dxa" w:w="18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Cycle 19 / J.211</w:t>
            </w:r>
          </w:p>
        </w:tc>
        <w:tc>
          <w:tcPr>
            <w:tcW w:type="dxa" w:w="28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Service logistique — station Kessel-Tho</w:t>
            </w:r>
          </w:p>
        </w:tc>
        <w:tc>
          <w:tcPr>
            <w:tcW w:type="dxa" w:w="3538"/>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Étoffement à 12-15 entrées par cycle ; ajout de deux séjours en cours à la date d'émission</w:t>
            </w:r>
          </w:p>
        </w:tc>
      </w:tr>
    </w:tbl>
    <w:p>
      <w:pPr>
        <w:spacing w:after="200" w:before="500"/>
      </w:pPr>
      <w:r>
        <w:rPr>
          <w:rFonts w:ascii="Arial" w:cs="Arial" w:eastAsia="Arial" w:hAnsi="Arial"/>
          <w:b/>
          <w:bCs/>
          <w:color w:val="3A3F44"/>
          <w:sz w:val="24"/>
          <w:szCs w:val="24"/>
        </w:rPr>
        <w:t xml:space="preserve">CLASSIFICATION ET DIFFUSION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5"/>
                <w:szCs w:val="15"/>
              </w:rPr>
              <w:t xml:space="preserve">Niveau</w:t>
            </w:r>
          </w:p>
        </w:tc>
        <w:tc>
          <w:tcPr>
            <w:tcW w:type="dxa" w:w="6638"/>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5"/>
                <w:szCs w:val="15"/>
              </w:rPr>
              <w:t xml:space="preserve">Distribution autorisée</w:t>
            </w:r>
          </w:p>
        </w:tc>
      </w:tr>
      <w:tr>
        <w:tc>
          <w:tcPr>
            <w:tcW w:type="dxa" w:w="30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Usage interne</w:t>
            </w:r>
          </w:p>
        </w:tc>
        <w:tc>
          <w:tcPr>
            <w:tcW w:type="dxa" w:w="6638"/>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Service logistique, administration de station</w:t>
            </w:r>
          </w:p>
        </w:tc>
      </w:tr>
    </w:tbl>
    <w:p>
      <w:r>
        <w:br w:type="page"/>
      </w:r>
    </w:p>
    <w:p>
      <w:pPr>
        <w:sectPr>
          <w:headerReference w:type="default" r:id="rId7"/>
          <w:footerReference w:type="default" r:id="rId8"/>
          <w:pgSz w:w="11906" w:h="16838" w:orient="portrait"/>
          <w:pgMar w:top="1440" w:right="700" w:bottom="1440" w:left="700" w:header="708" w:footer="708" w:gutter="0"/>
          <w:pgNumType/>
          <w:docGrid w:linePitch="360"/>
        </w:sectPr>
      </w:pPr>
    </w:p>
    <w:p>
      <w:pPr>
        <w:pStyle w:val="Heading1"/>
        <w:spacing w:after="200" w:before="300"/>
      </w:pPr>
      <w:r>
        <w:rPr>
          <w:b/>
          <w:bCs/>
          <w:color w:val="3A3F44"/>
        </w:rPr>
        <w:t xml:space="preserve">1. TRAFIC RÉGULIER</w:t>
      </w:r>
    </w:p>
    <w:p>
      <w:pPr>
        <w:spacing w:after="200"/>
      </w:pPr>
      <w:r>
        <w:t xml:space="preserve">Le trafic courant de la station suit un rythme stable sur l'ensemble de la période couverte par le présent registre (cycles 16 à 19), non détaillé mouvement par mouvement. Il comprend : une liaison bi-quotidienne avec Kessel pour le personnel non résident (une navette arrive avec la relève du quart de jour et repart avec le personnel de nuit sortant ; une seconde arrive avec la relève du quart de nuit et repart avec le personnel de jour sortant) ; une livraison de denrées fraîches et de produits d'hygiène en moyenne tous les deux jours ; et le passage hebdomadaire d'une navette de patrouille impériale (Aigle du Secteur) pour contrôle documentaire de routine, sans lien avec un incident particulier.</w:t>
      </w:r>
    </w:p>
    <w:p>
      <w:pPr>
        <w:spacing w:after="200"/>
      </w:pPr>
      <w:r>
        <w:t xml:space="preserve">Semaine type, à titre d'illustration :</w:t>
      </w:r>
    </w:p>
    <w:tbl>
      <w:tblPr>
        <w:tblW w:type="dxa" w:w="10038"/>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2200"/>
        <w:gridCol w:w="2038"/>
      </w:tblGrid>
      <w:tr>
        <w:tc>
          <w:tcPr>
            <w:tcW w:type="dxa" w:w="14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5"/>
                <w:szCs w:val="15"/>
              </w:rPr>
              <w:t xml:space="preserve">Jour</w:t>
            </w:r>
          </w:p>
        </w:tc>
        <w:tc>
          <w:tcPr>
            <w:tcW w:type="dxa" w:w="22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5"/>
                <w:szCs w:val="15"/>
              </w:rPr>
              <w:t xml:space="preserve">Navette Kessel (matin)</w:t>
            </w:r>
          </w:p>
        </w:tc>
        <w:tc>
          <w:tcPr>
            <w:tcW w:type="dxa" w:w="22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5"/>
                <w:szCs w:val="15"/>
              </w:rPr>
              <w:t xml:space="preserve">Navette Kessel (soir)</w:t>
            </w:r>
          </w:p>
        </w:tc>
        <w:tc>
          <w:tcPr>
            <w:tcW w:type="dxa" w:w="22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5"/>
                <w:szCs w:val="15"/>
              </w:rPr>
              <w:t xml:space="preserve">Livraison fraîche</w:t>
            </w:r>
          </w:p>
        </w:tc>
        <w:tc>
          <w:tcPr>
            <w:tcW w:type="dxa" w:w="2038"/>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5"/>
                <w:szCs w:val="15"/>
              </w:rPr>
              <w:t xml:space="preserve">Patrouille impériale</w:t>
            </w:r>
          </w:p>
        </w:tc>
      </w:tr>
      <w:tr>
        <w:tc>
          <w:tcPr>
            <w:tcW w:type="dxa" w:w="14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Lundi</w:t>
            </w:r>
          </w:p>
        </w:tc>
        <w:tc>
          <w:tcPr>
            <w:tcW w:type="dxa" w:w="2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Relève quart jour</w:t>
            </w:r>
          </w:p>
        </w:tc>
        <w:tc>
          <w:tcPr>
            <w:tcW w:type="dxa" w:w="2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Relève quart nuit</w:t>
            </w:r>
          </w:p>
        </w:tc>
        <w:tc>
          <w:tcPr>
            <w:tcW w:type="dxa" w:w="2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w:t>
            </w:r>
          </w:p>
        </w:tc>
        <w:tc>
          <w:tcPr>
            <w:tcW w:type="dxa" w:w="2038"/>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w:t>
            </w:r>
          </w:p>
        </w:tc>
      </w:tr>
      <w:tr>
        <w:tc>
          <w:tcPr>
            <w:tcW w:type="dxa" w:w="14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Mardi</w:t>
            </w:r>
          </w:p>
        </w:tc>
        <w:tc>
          <w:tcPr>
            <w:tcW w:type="dxa" w:w="2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Relève quart jour</w:t>
            </w:r>
          </w:p>
        </w:tc>
        <w:tc>
          <w:tcPr>
            <w:tcW w:type="dxa" w:w="2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Relève quart nuit</w:t>
            </w:r>
          </w:p>
        </w:tc>
        <w:tc>
          <w:tcPr>
            <w:tcW w:type="dxa" w:w="2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Denrées, hygiène</w:t>
            </w:r>
          </w:p>
        </w:tc>
        <w:tc>
          <w:tcPr>
            <w:tcW w:type="dxa" w:w="2038"/>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w:t>
            </w:r>
          </w:p>
        </w:tc>
      </w:tr>
      <w:tr>
        <w:tc>
          <w:tcPr>
            <w:tcW w:type="dxa" w:w="14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Mercredi</w:t>
            </w:r>
          </w:p>
        </w:tc>
        <w:tc>
          <w:tcPr>
            <w:tcW w:type="dxa" w:w="2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Relève quart jour</w:t>
            </w:r>
          </w:p>
        </w:tc>
        <w:tc>
          <w:tcPr>
            <w:tcW w:type="dxa" w:w="2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Relève quart nuit</w:t>
            </w:r>
          </w:p>
        </w:tc>
        <w:tc>
          <w:tcPr>
            <w:tcW w:type="dxa" w:w="2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w:t>
            </w:r>
          </w:p>
        </w:tc>
        <w:tc>
          <w:tcPr>
            <w:tcW w:type="dxa" w:w="2038"/>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Navette Aigle du Secteur</w:t>
            </w:r>
          </w:p>
        </w:tc>
      </w:tr>
      <w:tr>
        <w:tc>
          <w:tcPr>
            <w:tcW w:type="dxa" w:w="14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Jeudi</w:t>
            </w:r>
          </w:p>
        </w:tc>
        <w:tc>
          <w:tcPr>
            <w:tcW w:type="dxa" w:w="2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Relève quart jour</w:t>
            </w:r>
          </w:p>
        </w:tc>
        <w:tc>
          <w:tcPr>
            <w:tcW w:type="dxa" w:w="2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Relève quart nuit</w:t>
            </w:r>
          </w:p>
        </w:tc>
        <w:tc>
          <w:tcPr>
            <w:tcW w:type="dxa" w:w="2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Denrées, hygiène</w:t>
            </w:r>
          </w:p>
        </w:tc>
        <w:tc>
          <w:tcPr>
            <w:tcW w:type="dxa" w:w="2038"/>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w:t>
            </w:r>
          </w:p>
        </w:tc>
      </w:tr>
      <w:tr>
        <w:tc>
          <w:tcPr>
            <w:tcW w:type="dxa" w:w="14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Vendredi</w:t>
            </w:r>
          </w:p>
        </w:tc>
        <w:tc>
          <w:tcPr>
            <w:tcW w:type="dxa" w:w="2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Relève quart jour</w:t>
            </w:r>
          </w:p>
        </w:tc>
        <w:tc>
          <w:tcPr>
            <w:tcW w:type="dxa" w:w="2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Relève quart nuit</w:t>
            </w:r>
          </w:p>
        </w:tc>
        <w:tc>
          <w:tcPr>
            <w:tcW w:type="dxa" w:w="2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w:t>
            </w:r>
          </w:p>
        </w:tc>
        <w:tc>
          <w:tcPr>
            <w:tcW w:type="dxa" w:w="2038"/>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w:t>
            </w:r>
          </w:p>
        </w:tc>
      </w:tr>
      <w:tr>
        <w:tc>
          <w:tcPr>
            <w:tcW w:type="dxa" w:w="14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Samedi</w:t>
            </w:r>
          </w:p>
        </w:tc>
        <w:tc>
          <w:tcPr>
            <w:tcW w:type="dxa" w:w="2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Relève quart jour</w:t>
            </w:r>
          </w:p>
        </w:tc>
        <w:tc>
          <w:tcPr>
            <w:tcW w:type="dxa" w:w="2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Relève quart nuit</w:t>
            </w:r>
          </w:p>
        </w:tc>
        <w:tc>
          <w:tcPr>
            <w:tcW w:type="dxa" w:w="2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Denrées, hygiène</w:t>
            </w:r>
          </w:p>
        </w:tc>
        <w:tc>
          <w:tcPr>
            <w:tcW w:type="dxa" w:w="2038"/>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w:t>
            </w:r>
          </w:p>
        </w:tc>
      </w:tr>
      <w:tr>
        <w:tc>
          <w:tcPr>
            <w:tcW w:type="dxa" w:w="14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Dimanche</w:t>
            </w:r>
          </w:p>
        </w:tc>
        <w:tc>
          <w:tcPr>
            <w:tcW w:type="dxa" w:w="2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Relève quart jour</w:t>
            </w:r>
          </w:p>
        </w:tc>
        <w:tc>
          <w:tcPr>
            <w:tcW w:type="dxa" w:w="2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Relève quart nuit</w:t>
            </w:r>
          </w:p>
        </w:tc>
        <w:tc>
          <w:tcPr>
            <w:tcW w:type="dxa" w:w="2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w:t>
            </w:r>
          </w:p>
        </w:tc>
        <w:tc>
          <w:tcPr>
            <w:tcW w:type="dxa" w:w="2038"/>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w:t>
            </w:r>
          </w:p>
        </w:tc>
      </w:tr>
    </w:tbl>
    <w:p>
      <w:pPr>
        <w:spacing w:after="200"/>
      </w:pPr>
      <w:r>
        <w:t xml:space="preserve">Ce rythme peut varier légèrement selon les besoins ponctuels de la station ; il n'est pas reproduit jour par jour dans le présent registre, qui se concentre ci-après sur les mouvements sortant de l'ordinaire.</w:t>
      </w:r>
    </w:p>
    <w:p>
      <w:pPr>
        <w:pStyle w:val="Heading1"/>
        <w:spacing w:after="200" w:before="300"/>
      </w:pPr>
      <w:r>
        <w:rPr>
          <w:b/>
          <w:bCs/>
          <w:color w:val="3A3F44"/>
        </w:rPr>
        <w:t xml:space="preserve">2. MOUVEMENTS NOTABLES</w:t>
      </w:r>
    </w:p>
    <w:p>
      <w:pPr>
        <w:spacing w:after="200"/>
      </w:pPr>
      <w:r>
        <w:t xml:space="preserve">Sont recensés ci-dessous, par cycle puis par ordre antichronologique, les vaisseaux dont le passage a présenté un caractère notable (activité déclarée hors trafic courant, séjour prolongé, incident associé, ou statut particulier de l'équipage).</w:t>
      </w:r>
    </w:p>
    <w:p>
      <w:pPr>
        <w:pStyle w:val="Heading2"/>
        <w:spacing w:after="120" w:before="250"/>
      </w:pPr>
      <w:r>
        <w:rPr>
          <w:b/>
          <w:bCs/>
          <w:color w:val="3A3F44"/>
          <w:sz w:val="21"/>
          <w:szCs w:val="21"/>
        </w:rPr>
        <w:t xml:space="preserve">2.1 — Cycle 19</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900"/>
        <w:gridCol w:w="1700"/>
        <w:gridCol w:w="1200"/>
        <w:gridCol w:w="1200"/>
      </w:tblGrid>
      <w:tr>
        <w:tc>
          <w:tcPr>
            <w:tcW w:type="dxa" w:w="16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5"/>
                <w:szCs w:val="15"/>
              </w:rPr>
              <w:t xml:space="preserve">Séjour</w:t>
            </w:r>
          </w:p>
        </w:tc>
        <w:tc>
          <w:tcPr>
            <w:tcW w:type="dxa" w:w="15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5"/>
                <w:szCs w:val="15"/>
              </w:rPr>
              <w:t xml:space="preserve">Vaisseau</w:t>
            </w:r>
          </w:p>
        </w:tc>
        <w:tc>
          <w:tcPr>
            <w:tcW w:type="dxa" w:w="19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5"/>
                <w:szCs w:val="15"/>
              </w:rPr>
              <w:t xml:space="preserve">Activité</w:t>
            </w:r>
          </w:p>
        </w:tc>
        <w:tc>
          <w:tcPr>
            <w:tcW w:type="dxa" w:w="17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5"/>
                <w:szCs w:val="15"/>
              </w:rPr>
              <w:t xml:space="preserve">Cargaison</w:t>
            </w:r>
          </w:p>
        </w:tc>
        <w:tc>
          <w:tcPr>
            <w:tcW w:type="dxa" w:w="12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5"/>
                <w:szCs w:val="15"/>
              </w:rPr>
              <w:t xml:space="preserve">Origine</w:t>
            </w:r>
          </w:p>
        </w:tc>
        <w:tc>
          <w:tcPr>
            <w:tcW w:type="dxa" w:w="12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5"/>
                <w:szCs w:val="15"/>
              </w:rPr>
              <w:t xml:space="preserve">Destination</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J.210 – présent</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Étrave Grise</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Escale prolongée, réparation d'un système de navigation endommagé</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Non déclarée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Inconnue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En attente</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J.208 – présent</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Petit Fret</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Escale simple avant Kessel, attente de fret complémentaire</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Pièces mécaniques diverses</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Kessel</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Kessel</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J.205 (1j)</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Aigle du Secteur</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Transfert de détenus vers Kessel</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Kessel-Tho</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Kessel</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J.198–199</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Widowmaker</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Escale technique, ravitaillement</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Non déclarée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Inconnue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Kessel</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J.190–192</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La Rançon</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Remise d'un fugitif pour prime, formalités</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Anaxes</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Kessel</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J.184–185</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Le Sillage Perdu</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Escale avant Kessel, ravitaillement</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Non déclarée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Ord Mantell</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Kessel</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J.177 (1j)</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Aigle du Secteur</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Patrouille de routine, contrôle documentaire</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Kessel</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Secteur (patrouille)</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J.165–166</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Dents de Fer</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Réparations suite à accrochage (hors zone)</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Refus d'inspection</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Inconnue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Inconnue</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J.150–156</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Étoile Voilée</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Réparations suite panne de puissance (cf. journal de quart, IMP-KTH-JDB-001)</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Indépendant</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Indépendant</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J.145–149</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Perce-Brume</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Livraison de denrées alimentaires</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Denrées alimentaires</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Kessel</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Local (station)</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J.095 (1j)</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Bacta Express</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Évacuation médicale, membre d'équipage soigné puis repris</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Inconnue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Kessel</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J.010–012</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Marée Basse</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Livraison de matériel médical</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Équipement médical</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Kessel</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Kessel</w:t>
            </w:r>
          </w:p>
        </w:tc>
      </w:tr>
    </w:tbl>
    <w:p>
      <w:pPr>
        <w:spacing w:after="200"/>
      </w:pPr>
      <w:r>
        <w:rPr>
          <w:i/>
          <w:iCs/>
          <w:sz w:val="19"/>
          <w:szCs w:val="19"/>
        </w:rPr>
        <w:t xml:space="preserve">Les deux premiers séjours (Étrave Grise, Petit Fret) sont toujours en cours à la date d'émission du présent registre.</w:t>
      </w:r>
    </w:p>
    <w:p>
      <w:pPr>
        <w:pStyle w:val="Heading2"/>
        <w:spacing w:after="120" w:before="250"/>
      </w:pPr>
      <w:r>
        <w:rPr>
          <w:b/>
          <w:bCs/>
          <w:color w:val="3A3F44"/>
          <w:sz w:val="21"/>
          <w:szCs w:val="21"/>
        </w:rPr>
        <w:t xml:space="preserve">2.2 — Cycle 18</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900"/>
        <w:gridCol w:w="1700"/>
        <w:gridCol w:w="1200"/>
        <w:gridCol w:w="1200"/>
      </w:tblGrid>
      <w:tr>
        <w:tc>
          <w:tcPr>
            <w:tcW w:type="dxa" w:w="16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5"/>
                <w:szCs w:val="15"/>
              </w:rPr>
              <w:t xml:space="preserve">Séjour</w:t>
            </w:r>
          </w:p>
        </w:tc>
        <w:tc>
          <w:tcPr>
            <w:tcW w:type="dxa" w:w="15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5"/>
                <w:szCs w:val="15"/>
              </w:rPr>
              <w:t xml:space="preserve">Vaisseau</w:t>
            </w:r>
          </w:p>
        </w:tc>
        <w:tc>
          <w:tcPr>
            <w:tcW w:type="dxa" w:w="19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5"/>
                <w:szCs w:val="15"/>
              </w:rPr>
              <w:t xml:space="preserve">Activité</w:t>
            </w:r>
          </w:p>
        </w:tc>
        <w:tc>
          <w:tcPr>
            <w:tcW w:type="dxa" w:w="17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5"/>
                <w:szCs w:val="15"/>
              </w:rPr>
              <w:t xml:space="preserve">Cargaison</w:t>
            </w:r>
          </w:p>
        </w:tc>
        <w:tc>
          <w:tcPr>
            <w:tcW w:type="dxa" w:w="12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5"/>
                <w:szCs w:val="15"/>
              </w:rPr>
              <w:t xml:space="preserve">Origine</w:t>
            </w:r>
          </w:p>
        </w:tc>
        <w:tc>
          <w:tcPr>
            <w:tcW w:type="dxa" w:w="12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5"/>
                <w:szCs w:val="15"/>
              </w:rPr>
              <w:t xml:space="preserve">Destination</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J.330 (1j)</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Skybreaker</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Chasseur de primes, escale ravitaillement, cible non localisée</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Non déclarée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Inconnue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Kessel</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J.310–312</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Aigle du Secteur</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Patrouille de routine, contrôle documentaire</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Kessel</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Secteur (patrouille)</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J.301 (1j)</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Fer de Lance</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Escale technique, poursuite en cours (chasseur de primes)</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Non déclarée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Inconnue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Kessel</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J.290–292</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Horizon Pâle</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Livraison de matériel non déclaré, refus d'inspection</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Non déclarée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Inconnue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Inconnue</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J.250–252</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La Diligente</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Livraison de fournitures diverses</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Biens de consommation</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Kessel</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Local (station)</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J.200 (1j)</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Rictus</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Escale brève, équipage tendu, aucun incident</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Refus d'inspection</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Inconnue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Inconnue</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J.150–151</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Vent Debout</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Escale simple avant Kessel</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Non déclarée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Ord Mantell</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Kessel</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J.140 (1j)</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Corsaire Rouge</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Escale brève, ravitaillement</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Refus d'inspection</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Inconnue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Inconnue</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J.110–112</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Nightshade</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Contrebande suspectée, cargaison non inspectée</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Non déclarée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Inconnue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Inconnue</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J.095–097</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Foudre Errante</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Récupération de matériel commandé</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Pièces électroniques</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Kessel</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Inconnue</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J.077–081</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Long Sillage</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Livraison et collecte de pièces détachées, électronique (affréteur régulier)</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Pièces détachées, électronique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Ord Mantell</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Ord Mantell</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J.060–062</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Longue Vue</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Livraison d'équipement technique</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Équipement technique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Kessel</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Local (station)</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J.050 (1j)</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Bacta Express</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Évacuation médicale, membre d'équipage soigné puis repris</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Inconnue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Kessel</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J.020–022</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Vengeance Écarlate</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Réparations suite à accrochage (hors zone), présence tolérée</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Refus d'inspection</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Inconnue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Inconnue</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J.010 (1j)</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Iron Jackal</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Chasseur de primes, ravitaillement</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Non déclarée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Inconnue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Kessel</w:t>
            </w:r>
          </w:p>
        </w:tc>
      </w:tr>
    </w:tbl>
    <w:p>
      <w:pPr>
        <w:pStyle w:val="Heading2"/>
        <w:spacing w:after="120" w:before="250"/>
      </w:pPr>
      <w:r>
        <w:rPr>
          <w:b/>
          <w:bCs/>
          <w:color w:val="3A3F44"/>
          <w:sz w:val="21"/>
          <w:szCs w:val="21"/>
        </w:rPr>
        <w:t xml:space="preserve">2.3 — Cycle 17</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900"/>
        <w:gridCol w:w="1700"/>
        <w:gridCol w:w="1200"/>
        <w:gridCol w:w="1200"/>
      </w:tblGrid>
      <w:tr>
        <w:tc>
          <w:tcPr>
            <w:tcW w:type="dxa" w:w="16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5"/>
                <w:szCs w:val="15"/>
              </w:rPr>
              <w:t xml:space="preserve">Séjour</w:t>
            </w:r>
          </w:p>
        </w:tc>
        <w:tc>
          <w:tcPr>
            <w:tcW w:type="dxa" w:w="15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5"/>
                <w:szCs w:val="15"/>
              </w:rPr>
              <w:t xml:space="preserve">Vaisseau</w:t>
            </w:r>
          </w:p>
        </w:tc>
        <w:tc>
          <w:tcPr>
            <w:tcW w:type="dxa" w:w="19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5"/>
                <w:szCs w:val="15"/>
              </w:rPr>
              <w:t xml:space="preserve">Activité</w:t>
            </w:r>
          </w:p>
        </w:tc>
        <w:tc>
          <w:tcPr>
            <w:tcW w:type="dxa" w:w="17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5"/>
                <w:szCs w:val="15"/>
              </w:rPr>
              <w:t xml:space="preserve">Cargaison</w:t>
            </w:r>
          </w:p>
        </w:tc>
        <w:tc>
          <w:tcPr>
            <w:tcW w:type="dxa" w:w="12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5"/>
                <w:szCs w:val="15"/>
              </w:rPr>
              <w:t xml:space="preserve">Origine</w:t>
            </w:r>
          </w:p>
        </w:tc>
        <w:tc>
          <w:tcPr>
            <w:tcW w:type="dxa" w:w="12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5"/>
                <w:szCs w:val="15"/>
              </w:rPr>
              <w:t xml:space="preserve">Destination</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J.310 (1j)</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Aigle du Secteur</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Patrouille de routine, contrôle documentaire</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Kessel</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Secteur (patrouille)</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J.270–271</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Le Grippe-Sou</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Livraison de biens de consommation, négociation tendue sur les tarifs d'amarrage</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Biens de consommation</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Kessel</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Local (station)</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J.205–207</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Traqueur Silencieux</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Chasseur de primes, surveillance discrète d'un vaisseau amarré, repart sans incident</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Non déclarée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Inconnue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Inconnue</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J.190–191</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Aigle du Secteur</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Patrouille de routine, contrôle documentaire</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Kessel</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Secteur (patrouille)</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J.165 (1j)</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Bonne Étoile</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Soin d'un membre d'équipage à l'infirmerie de la station</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Inconnue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Kessel</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J.140–143</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Vestige</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Livraison de textile, biens de consommation</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Textile, biens de consommation</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Coruscant</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Local (station)</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J.115–117</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Brise-Lame</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Livraison de pièces de rechange pour équipement portuaire</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Pièces mécaniques</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Kessel</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Local (station)</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J.098 (1j)</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L'Écorcheur</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Escale brève, ravitaillement, équipage armé — tension sans incident</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Non déclarée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Inconnue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Inconnue</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J.033–036</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Aube Grise</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Livraison de composants industriels</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Composants industriels</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Anaxes</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Anaxes</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J.010 (1j)</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Bacta Express</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Livraison de fournitures médicales de routine</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Fournitures médicales</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Kessel</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Kessel</w:t>
            </w:r>
          </w:p>
        </w:tc>
      </w:tr>
    </w:tbl>
    <w:p>
      <w:pPr>
        <w:pStyle w:val="Heading2"/>
        <w:spacing w:after="120" w:before="250"/>
      </w:pPr>
      <w:r>
        <w:rPr>
          <w:b/>
          <w:bCs/>
          <w:color w:val="3A3F44"/>
          <w:sz w:val="21"/>
          <w:szCs w:val="21"/>
        </w:rPr>
        <w:t xml:space="preserve">2.4 — Cycle 16</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900"/>
        <w:gridCol w:w="1700"/>
        <w:gridCol w:w="1200"/>
        <w:gridCol w:w="1200"/>
      </w:tblGrid>
      <w:tr>
        <w:tc>
          <w:tcPr>
            <w:tcW w:type="dxa" w:w="16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5"/>
                <w:szCs w:val="15"/>
              </w:rPr>
              <w:t xml:space="preserve">Séjour</w:t>
            </w:r>
          </w:p>
        </w:tc>
        <w:tc>
          <w:tcPr>
            <w:tcW w:type="dxa" w:w="15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5"/>
                <w:szCs w:val="15"/>
              </w:rPr>
              <w:t xml:space="preserve">Vaisseau</w:t>
            </w:r>
          </w:p>
        </w:tc>
        <w:tc>
          <w:tcPr>
            <w:tcW w:type="dxa" w:w="19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5"/>
                <w:szCs w:val="15"/>
              </w:rPr>
              <w:t xml:space="preserve">Activité</w:t>
            </w:r>
          </w:p>
        </w:tc>
        <w:tc>
          <w:tcPr>
            <w:tcW w:type="dxa" w:w="17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5"/>
                <w:szCs w:val="15"/>
              </w:rPr>
              <w:t xml:space="preserve">Cargaison</w:t>
            </w:r>
          </w:p>
        </w:tc>
        <w:tc>
          <w:tcPr>
            <w:tcW w:type="dxa" w:w="12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5"/>
                <w:szCs w:val="15"/>
              </w:rPr>
              <w:t xml:space="preserve">Origine</w:t>
            </w:r>
          </w:p>
        </w:tc>
        <w:tc>
          <w:tcPr>
            <w:tcW w:type="dxa" w:w="12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5"/>
                <w:szCs w:val="15"/>
              </w:rPr>
              <w:t xml:space="preserve">Destination</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J.340–342</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Aigle du Secteur</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Patrouille de routine, contrôle documentaire</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Kessel</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Secteur (patrouille)</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J.320 (1j)</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Skybreaker</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Chasseur de primes, ravitaillement</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Non déclarée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Inconnue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Kessel</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J.290–291</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Longue Vue</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Livraison d'équipement d'observation pour la station</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Équipement technique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Kessel</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Local (station)</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J.250 (1j)</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Rictus</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Escale brève, tension, aucun incident</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Refus d'inspection</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Inconnue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Inconnue</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J.230 (1j)</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La Gueuse</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Escale simple, ravitaillement en carburant</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Non déclarée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Inconnue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Inconnue</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J.210–212</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Chasse-Partie</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Contrebande suspectée, cargaison non inspectée</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Non déclarée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Inconnue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Inconnue</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J.180 (1j)</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Bacta Express</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Livraison de fournitures médicales de routine</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Fournitures médicales</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Kessel</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Kessel</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J.150–152</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Vent Debout</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Escale simple avant Kessel</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Non déclarée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Ord Mantell</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Kessel</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J.120 (1j)</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Iron Jackal</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Chasseur de primes, ravitaillement</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Non déclarée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Inconnue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Kessel</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J.098–101</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Perce-Brume</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Livraison de denrées alimentaires</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Denrées alimentaires</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Kessel</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Local (station)</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J.070 (1j)</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La Rançon</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Remise d'un fugitif pour prime, formalités</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Anaxes</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Kessel</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J.045–046</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Foudre Errante</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Récupération de matériel commandé</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Pièces électroniques</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Kessel</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Inconnue</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J.015 (1j)</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L'Écorcheur</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Escale brève, ravitaillement, équipage armé</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Non déclarée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Inconnue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Inconnue</w:t>
            </w:r>
          </w:p>
        </w:tc>
      </w:tr>
      <w:tr>
        <w:tc>
          <w:tcPr>
            <w:tcW w:type="dxa" w:w="16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J.005–009</w:t>
            </w:r>
          </w:p>
        </w:tc>
        <w:tc>
          <w:tcPr>
            <w:tcW w:type="dxa" w:w="15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Long Sillage</w:t>
            </w:r>
          </w:p>
        </w:tc>
        <w:tc>
          <w:tcPr>
            <w:tcW w:type="dxa" w:w="19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Livraison et collecte de pièces détachées, électronique (affréteur régulier)</w:t>
            </w:r>
          </w:p>
        </w:tc>
        <w:tc>
          <w:tcPr>
            <w:tcW w:type="dxa" w:w="17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Pièces détachées, électronique</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Ord Mantell</w:t>
            </w:r>
          </w:p>
        </w:tc>
        <w:tc>
          <w:tcPr>
            <w:tcW w:type="dxa" w:w="1200"/>
            <w:tcBorders>
              <w:top w:val="single" w:color="999999" w:sz="2"/>
              <w:left w:val="single" w:color="999999" w:sz="2"/>
              <w:bottom w:val="single" w:color="999999" w:sz="2"/>
              <w:right w:val="single" w:color="999999" w:sz="2"/>
            </w:tcBorders>
          </w:tcPr>
          <w:p>
            <w:r>
              <w:rPr>
                <w:rFonts w:ascii="Arial" w:cs="Arial" w:eastAsia="Arial" w:hAnsi="Arial"/>
                <w:sz w:val="15"/>
                <w:szCs w:val="15"/>
              </w:rPr>
              <w:t xml:space="preserve">Ord Mantell</w:t>
            </w:r>
          </w:p>
        </w:tc>
      </w:tr>
    </w:tbl>
    <w:p>
      <w:pPr>
        <w:spacing w:after="200"/>
      </w:pPr>
      <w:r>
        <w:t xml:space="preserve">Note du service logistique : les vaisseaux dont l'origine est mentionnée « inconnue » ou « non déclarée » n'ont pas fait l'objet d'une inspection de cargaison approfondie, faute de moyens dédiés à cet effet sur la station — situation conforme à la pratique standard pour les opérateurs indépendants réguliers ne présentant pas de motif de suspicion particulier. Le Long Sillage, Bacta Express et Aigle du Secteur figurent parmi les affréteurs et navettes les plus réguliers de la station sur la période couverte, ce qui explique leur récurrence dans le présent registre.</w:t>
      </w:r>
    </w:p>
    <w:sectPr>
      <w:headerReference w:type="default" r:id="rId9"/>
      <w:footerReference w:type="default" r:id="rId10"/>
      <w:pgSz w:w="11906" w:h="16838" w:orient="portrait"/>
      <w:pgMar w:top="1440" w:right="700" w:bottom="144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3A3F44"/>
        <w:sz w:val="14"/>
        <w:szCs w:val="14"/>
      </w:rPr>
      <w:t xml:space="preserve">Réf. Doc. IMP-KTH-MAN-011</w:t>
    </w:r>
    <w:r>
      <w:rPr>
        <w:rFonts w:ascii="Arial" w:cs="Arial" w:eastAsia="Arial" w:hAnsi="Arial"/>
        <w:color w:val="3A3F44"/>
        <w:sz w:val="14"/>
        <w:szCs w:val="14"/>
      </w:rPr>
      <w:t xml:space="preserve">	Page </w:t>
    </w:r>
    <w:r>
      <w:rPr>
        <w:rFonts w:ascii="Arial" w:cs="Arial" w:eastAsia="Arial" w:hAnsi="Arial"/>
        <w:color w:val="3A3F44"/>
        <w:sz w:val="14"/>
        <w:szCs w:val="14"/>
      </w:rPr>
      <w:fldChar w:fldCharType="begin"/>
      <w:instrText xml:space="preserve">PAGE</w:instrText>
      <w:fldChar w:fldCharType="separate"/>
      <w:fldChar w:fldCharType="end"/>
    </w:r>
    <w:r>
      <w:rPr>
        <w:rFonts w:ascii="Arial" w:cs="Arial" w:eastAsia="Arial" w:hAnsi="Arial"/>
        <w:color w:val="3A3F44"/>
        <w:sz w:val="14"/>
        <w:szCs w:val="14"/>
      </w:rPr>
      <w:t xml:space="preserve"> / </w:t>
    </w:r>
    <w:r>
      <w:rPr>
        <w:rFonts w:ascii="Arial" w:cs="Arial" w:eastAsia="Arial" w:hAnsi="Arial"/>
        <w:color w:val="3A3F44"/>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3A3F44"/>
        <w:sz w:val="14"/>
        <w:szCs w:val="14"/>
      </w:rPr>
      <w:t xml:space="preserve">Réf. Doc. IMP-KTH-MAN-011</w:t>
    </w:r>
    <w:r>
      <w:rPr>
        <w:rFonts w:ascii="Arial" w:cs="Arial" w:eastAsia="Arial" w:hAnsi="Arial"/>
        <w:color w:val="3A3F44"/>
        <w:sz w:val="14"/>
        <w:szCs w:val="14"/>
      </w:rPr>
      <w:t xml:space="preserve">	Page </w:t>
    </w:r>
    <w:r>
      <w:rPr>
        <w:rFonts w:ascii="Arial" w:cs="Arial" w:eastAsia="Arial" w:hAnsi="Arial"/>
        <w:color w:val="3A3F44"/>
        <w:sz w:val="14"/>
        <w:szCs w:val="14"/>
      </w:rPr>
      <w:fldChar w:fldCharType="begin"/>
      <w:instrText xml:space="preserve">PAGE</w:instrText>
      <w:fldChar w:fldCharType="separate"/>
      <w:fldChar w:fldCharType="end"/>
    </w:r>
    <w:r>
      <w:rPr>
        <w:rFonts w:ascii="Arial" w:cs="Arial" w:eastAsia="Arial" w:hAnsi="Arial"/>
        <w:color w:val="3A3F44"/>
        <w:sz w:val="14"/>
        <w:szCs w:val="14"/>
      </w:rPr>
      <w:t xml:space="preserve"> / </w:t>
    </w:r>
    <w:r>
      <w:rPr>
        <w:rFonts w:ascii="Arial" w:cs="Arial" w:eastAsia="Arial" w:hAnsi="Arial"/>
        <w:color w:val="3A3F44"/>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bCs/>
        <w:color w:val="3A3F44"/>
        <w:sz w:val="16"/>
        <w:szCs w:val="16"/>
      </w:rPr>
      <w:t xml:space="preserve">GOUVERNEMENT IMPÉRIAL — BUREAU DE LA COMMUNICATION SECTORIELLE</w:t>
    </w:r>
  </w:p>
  <w:p>
    <w:pPr>
      <w:pBdr>
        <w:bottom w:val="single" w:color="3A3F44" w:sz="6"/>
      </w:pBdr>
      <w:jc w:val="center"/>
    </w:pPr>
    <w:r>
      <w:rPr>
        <w:rFonts w:ascii="Arial" w:cs="Arial" w:eastAsia="Arial" w:hAnsi="Arial"/>
        <w:b/>
        <w:bCs/>
        <w:color w:val="8B0000"/>
        <w:sz w:val="16"/>
        <w:szCs w:val="16"/>
      </w:rPr>
      <w:t xml:space="preserve">DIFFUSION RESTREINTE — USAGE INTERNE UNIQUEMENT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bCs/>
        <w:color w:val="3A3F44"/>
        <w:sz w:val="16"/>
        <w:szCs w:val="16"/>
      </w:rPr>
      <w:t xml:space="preserve">GOUVERNEMENT IMPÉRIAL — BUREAU DE LA COMMUNICATION SECTORIELLE</w:t>
    </w:r>
  </w:p>
  <w:p>
    <w:pPr>
      <w:pBdr>
        <w:bottom w:val="single" w:color="3A3F44" w:sz="6"/>
      </w:pBdr>
      <w:jc w:val="center"/>
    </w:pPr>
    <w:r>
      <w:rPr>
        <w:rFonts w:ascii="Arial" w:cs="Arial" w:eastAsia="Arial" w:hAnsi="Arial"/>
        <w:b/>
        <w:bCs/>
        <w:color w:val="8B0000"/>
        <w:sz w:val="16"/>
        <w:szCs w:val="16"/>
      </w:rPr>
      <w:t xml:space="preserve">DIFFUSION RESTREINTE — USAGE INTERNE UNIQUEMENT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2026-07-13T18:05:27.431Z</dcterms:created>
  <dcterms:modified xsi:type="dcterms:W3CDTF">2026-07-13T18:05:27.446Z</dcterms:modified>
</cp:coreProperties>
</file>

<file path=docProps/custom.xml><?xml version="1.0" encoding="utf-8"?>
<Properties xmlns="http://schemas.openxmlformats.org/officeDocument/2006/custom-properties" xmlns:vt="http://schemas.openxmlformats.org/officeDocument/2006/docPropsVTypes"/>
</file>