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REGISTRE DU MATÉRIEL DE COMMUNICATION ET DE MAINTENANCE — ANTENNES ET RÉSEAUX</w:t>
      </w:r>
    </w:p>
    <w:p>
      <w:pPr>
        <w:spacing w:after="600"/>
        <w:jc w:val="center"/>
      </w:pPr>
      <w:r>
        <w:rPr>
          <w:rFonts w:ascii="Arial" w:cs="Arial" w:eastAsia="Arial" w:hAnsi="Arial"/>
          <w:i/>
          <w:iCs/>
          <w:sz w:val="20"/>
          <w:szCs w:val="20"/>
        </w:rPr>
        <w:t xml:space="preserve">Référence : IMP-KTH-REG-003</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Cycles 10 à 19</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Technicien D. Kavarel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Registre continu — antennes directionnelles uniquement</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2.0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J.150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Technicien D. Kavarel</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Extension à l'ensemble du parc (holonet, réseau interne) + chronologie complète des interventions et dégradations</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Usage interne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Service technique de la station Kessel-Tho</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b/>
          <w:bCs/>
          <w:color w:val="3A3F44"/>
        </w:rPr>
        <w:t xml:space="preserve">1. INVENTAIRE DU MATÉRIEL</w:t>
      </w:r>
    </w:p>
    <w:p>
      <w:pPr>
        <w:spacing w:after="200"/>
      </w:pPr>
      <w:r>
        <w:t xml:space="preserve">Le parc de matériel de communication de la station Kessel-Tho relevant de la responsabilité du service technique se répartit en trois familles d'équipements,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38"/>
        <w:gridCol w:w="2800"/>
      </w:tblGrid>
      <w:tr>
        <w:tc>
          <w:tcPr>
            <w:tcW w:type="dxa" w:w="14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Identifiant</w:t>
            </w:r>
          </w:p>
        </w:tc>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Type</w:t>
            </w:r>
          </w:p>
        </w:tc>
        <w:tc>
          <w:tcPr>
            <w:tcW w:type="dxa" w:w="24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Localisation</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Fonction</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AD-01</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Antenne directionnelle — radio commerciale (CCS-4)</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Flanc nord</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Trafic commercial courant</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AD-02</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Antenne directionnelle — radio commerciale (CCS-4)</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Flanc sud</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Trafic commercial courant, secours</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AD-03</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Antenne directionnelle — radio commerciale (CCS-4)</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Flanc est</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Trafic commercial longue portée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AD-04</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Antenne directionnelle — radio commerciale (CCS-4)</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Flanc ouest</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Trafic commercial longue portée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HN-01</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Relais holonet</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Superstructure centrale</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Communications interstellaires officielles</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WN-01</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Borne réseau informatique interne (sans fil)</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Secteur A</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Couverture réseau administratif</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WN-02</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Borne réseau informatique interne (sans fil)</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Secteur B</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Couverture réseau administratif et logistique</w:t>
            </w:r>
          </w:p>
        </w:tc>
      </w:tr>
      <w:tr>
        <w:tc>
          <w:tcPr>
            <w:tcW w:type="dxa" w:w="14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WN-03</w:t>
            </w:r>
          </w:p>
        </w:tc>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Borne réseau informatique interne (sans fil)</w:t>
            </w:r>
          </w:p>
        </w:tc>
        <w:tc>
          <w:tcPr>
            <w:tcW w:type="dxa" w:w="24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Secteur C</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Couverture réseau logistique</w:t>
            </w:r>
          </w:p>
        </w:tc>
      </w:tr>
    </w:tbl>
    <w:p>
      <w:pPr>
        <w:spacing w:after="200"/>
      </w:pPr>
      <w:r>
        <w:t xml:space="preserve">Note : les systèmes critiques (contrôle environnemental, gestion de l'énergie) ne transitent pas par le réseau sans fil interne et ne figurent pas au présent inventaire ; ils relèvent d'un segment isolé distinct (cf. audit IMP-CSK-AUD-007, section 4.3).</w:t>
      </w:r>
    </w:p>
    <w:p>
      <w:pPr>
        <w:pStyle w:val="Heading1"/>
        <w:spacing w:after="200" w:before="300"/>
      </w:pPr>
      <w:r>
        <w:rPr>
          <w:b/>
          <w:bCs/>
          <w:color w:val="3A3F44"/>
        </w:rPr>
        <w:t xml:space="preserve">2. CHRONOLOGIE DES INTERVENTIONS</w:t>
      </w:r>
    </w:p>
    <w:p>
      <w:pPr>
        <w:spacing w:after="200"/>
      </w:pPr>
      <w:r>
        <w:t xml:space="preserve">Le tableau ci-dessous recense l'ensemble des interventions recensées sur le parc, qu'elles relèvent de l'entretien courant, d'une panne, ou d'une dégradation d'origine extérieure.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4200"/>
        <w:gridCol w:w="2038"/>
      </w:tblGrid>
      <w:tr>
        <w:tc>
          <w:tcPr>
            <w:tcW w:type="dxa" w:w="13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13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Équipement</w:t>
            </w:r>
          </w:p>
        </w:tc>
        <w:tc>
          <w:tcPr>
            <w:tcW w:type="dxa" w:w="42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Intervention</w:t>
            </w:r>
          </w:p>
        </w:tc>
        <w:tc>
          <w:tcPr>
            <w:tcW w:type="dxa" w:w="20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Technicien</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C.10 / J.015</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HN-01</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Mise à jour de micrologiciel, routine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C.10 / J.201</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WN-01</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Tags retrouvés à proximité, nettoyage sans dommage matériel constaté</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C.11 / J.088</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AD-03</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Recalibrage standard, dérive mineure corrigée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C.12 / J.140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AD-01</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Remplacement joint d'étanchéité</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C.13 / J.212</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AD-02</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Dégradation — voir incident notable ci-après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C.14 / J.006</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AD-04</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Inspection suite alerte météo, RAS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C.14 / J.190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WN-02</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Panne totale, remplacement de la borne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C.15 / J.088</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Signalement administratif — voir note ci-après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C.15 / J.250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AD-02</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Nettoyage capteurs, accumulation de poussière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C.16 / J.310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HN-01</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Recalibrage suite dérive de pointage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C.17 / J.030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AD-03</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Recalibrage standard</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C.17 / J.190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WN-01, WN-03</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Mise à jour de sécurité suite recommandation d'audit sectoriel</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C.18 / J.301</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AD-01</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Panne intermittente signalée, cause non déterminée</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C.19 / J.133</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Ensemble du parc</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Contrôle exceptionnel suite fluctuation du réseau électrique principal (cf. journal de quart, IMP-KTH-JDB-001), RAS sur toutes les unités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C.19 / J.141</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AD-03, AD-04</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Inspection des capteurs longue portée suite incident de sécurité du J.140 (cf. journal de quart), RAS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r>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C.19 / J.150</w:t>
            </w:r>
          </w:p>
        </w:tc>
        <w:tc>
          <w:tcPr>
            <w:tcW w:type="dxa" w:w="13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AD-04</w:t>
            </w:r>
          </w:p>
        </w:tc>
        <w:tc>
          <w:tcPr>
            <w:tcW w:type="dxa" w:w="42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Recalibrage standard, RAS</w:t>
            </w:r>
          </w:p>
        </w:tc>
        <w:tc>
          <w:tcPr>
            <w:tcW w:type="dxa" w:w="20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 Kavarel</w:t>
            </w:r>
          </w:p>
        </w:tc>
      </w:tr>
    </w:tbl>
    <w:p>
      <w:pPr>
        <w:pStyle w:val="Heading1"/>
        <w:spacing w:after="200" w:before="300"/>
      </w:pPr>
      <w:r>
        <w:rPr>
          <w:b/>
          <w:bCs/>
          <w:color w:val="3A3F44"/>
        </w:rPr>
        <w:t xml:space="preserve">3. INCIDENTS NOTABLES</w:t>
      </w:r>
    </w:p>
    <w:p>
      <w:pPr>
        <w:pStyle w:val="Heading2"/>
        <w:spacing w:after="150" w:before="280"/>
      </w:pPr>
      <w:r>
        <w:rPr>
          <w:b/>
          <w:bCs/>
          <w:color w:val="3A3F44"/>
          <w:sz w:val="22"/>
          <w:szCs w:val="22"/>
        </w:rPr>
        <w:t xml:space="preserve">3.1 — Dégradation par tir isolé (C.13 / J.212)</w:t>
      </w:r>
    </w:p>
    <w:p>
      <w:pPr>
        <w:spacing w:after="200"/>
      </w:pPr>
      <w:r>
        <w:t xml:space="preserve">Au cours du cycle 13, un incident de sécurité impliquant un vaisseau non identifié a occasionné un tir isolé ayant touché le capteur externe de l'antenne AD-02. Le vaisseau en question a quitté la zone avant toute possibilité d'identification ou d'interception. Les dégâts, localisés au seul capteur externe, ont été réparés dans les quarante-huit heures suivant l'incident, sans interruption significative du service commercial standard, ce dernier ayant été temporairement redirigé vers AD-03. Aucune récidive de ce type n'a été constatée depuis sur le reste du parc.</w:t>
      </w:r>
    </w:p>
    <w:p>
      <w:pPr>
        <w:pStyle w:val="Heading2"/>
        <w:spacing w:after="150" w:before="280"/>
      </w:pPr>
      <w:r>
        <w:rPr>
          <w:b/>
          <w:bCs/>
          <w:color w:val="3A3F44"/>
          <w:sz w:val="22"/>
          <w:szCs w:val="22"/>
        </w:rPr>
        <w:t xml:space="preserve">3.2 — Peinture murale non autorisée, galerie de maintenance secondaire (C.15 / J.088)</w:t>
      </w:r>
    </w:p>
    <w:p>
      <w:pPr>
        <w:spacing w:after="200"/>
      </w:pPr>
      <w:r>
        <w:t xml:space="preserve">Une fresque murale non autorisée a été signalée dans une galerie de maintenance secondaire, à proximité des accès de service d'AD-02 et AD-03. L'auteur n'a pas été identifié à l'époque du signalement. Après évaluation, l'administration a jugé cette dégradation esthétique sans risque pour les équipements ni pour la circulation du personnel, et sa suppression n'a pas été retenue comme prioritaire au regard des autres tâches d'entretien courant. Elle n'a fait l'objet d'aucun suivi ultérieur.</w:t>
      </w:r>
    </w:p>
    <w:p>
      <w:pPr>
        <w:pStyle w:val="Heading1"/>
        <w:spacing w:after="200" w:before="300"/>
      </w:pPr>
      <w:r>
        <w:rPr>
          <w:b/>
          <w:bCs/>
          <w:color w:val="3A3F44"/>
        </w:rPr>
        <w:t xml:space="preserve">4. OBSERVATIONS DU TECHNICIEN</w:t>
      </w:r>
    </w:p>
    <w:p>
      <w:pPr>
        <w:spacing w:after="200"/>
      </w:pPr>
      <w:r>
        <w:t xml:space="preserve">L'antenne AD-01 continue de présenter, de façon sporadique, des micro-coupures non expliquées par l'usure normale du matériel depuis le signalement du cycle 18. Une surveillance renforcée reste recommandée au prochain cycle, sans qu'il soit possible à ce stade d'en déterminer la cause exacte. — D.K.</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IMP-KTH-REG-003</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IMP-KTH-REG-003</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2026-07-12T21:17:59.023Z</dcterms:created>
  <dcterms:modified xsi:type="dcterms:W3CDTF">2026-07-12T21:17:59.053Z</dcterms:modified>
</cp:coreProperties>
</file>

<file path=docProps/custom.xml><?xml version="1.0" encoding="utf-8"?>
<Properties xmlns="http://schemas.openxmlformats.org/officeDocument/2006/custom-properties" xmlns:vt="http://schemas.openxmlformats.org/officeDocument/2006/docPropsVTypes"/>
</file>