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Note technique — Terminal Sienar</w:t>
      </w:r>
    </w:p>
    <w:p>
      <w:r>
        <w:t xml:space="preserve">Ce document de démonstration sert à vérifier le rendu </w:t>
      </w:r>
      <w:r>
        <w:rPr>
          <w:b/>
        </w:rPr>
        <w:t xml:space="preserve">mammoth.js</w:t>
      </w:r>
      <w:r>
        <w:t xml:space="preserve"> dans EmpireOS : titres, </w:t>
      </w:r>
      <w:r>
        <w:rPr>
          <w:b/>
        </w:rPr>
        <w:t xml:space="preserve">gras</w:t>
      </w:r>
      <w:r>
        <w:t xml:space="preserve">, </w:t>
      </w:r>
      <w:r>
        <w:rPr>
          <w:i/>
        </w:rPr>
        <w:t xml:space="preserve">italique</w:t>
      </w:r>
      <w:r>
        <w:t xml:space="preserve"> et tableaux.</w:t>
      </w:r>
    </w:p>
    <w:p>
      <w:pPr>
        <w:pStyle w:val="Heading2"/>
      </w:pPr>
      <w:r>
        <w:t xml:space="preserve">Statut des systèmes</w:t>
      </w:r>
    </w:p>
    <w:p>
      <w:r>
        <w:t xml:space="preserve">Les relais listés ci-dessous ont été audités lors de la dernière rotation. </w:t>
      </w:r>
      <w:r>
        <w:rPr>
          <w:i/>
        </w:rPr>
        <w:t xml:space="preserve">Toute anomalie doit être signalée au Bureau des Transmissions.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Relais</w:t>
            </w:r>
          </w:p>
        </w:tc>
        <w:tc>
          <w:p>
            <w:r>
              <w:rPr>
                <w:b/>
              </w:rPr>
              <w:t xml:space="preserve">Secteur</w:t>
            </w:r>
          </w:p>
        </w:tc>
        <w:tc>
          <w:p>
            <w:r>
              <w:rPr>
                <w:b/>
              </w:rPr>
              <w:t xml:space="preserve">État</w:t>
            </w:r>
          </w:p>
        </w:tc>
      </w:tr>
      <w:tr>
        <w:tc>
          <w:p>
            <w:r>
              <w:t xml:space="preserve">KX-114</w:t>
            </w:r>
          </w:p>
        </w:tc>
        <w:tc>
          <w:p>
            <w:r>
              <w:t xml:space="preserve">Kessel-Tho</w:t>
            </w:r>
          </w:p>
        </w:tc>
        <w:tc>
          <w:p>
            <w:r>
              <w:t xml:space="preserve">Nominal</w:t>
            </w:r>
          </w:p>
        </w:tc>
      </w:tr>
      <w:tr>
        <w:tc>
          <w:p>
            <w:r>
              <w:t xml:space="preserve">KX-118</w:t>
            </w:r>
          </w:p>
        </w:tc>
        <w:tc>
          <w:p>
            <w:r>
              <w:t xml:space="preserve">Kessel-Tho</w:t>
            </w:r>
          </w:p>
        </w:tc>
        <w:tc>
          <w:p>
            <w:r>
              <w:t xml:space="preserve">Latence élevée</w:t>
            </w:r>
          </w:p>
        </w:tc>
      </w:tr>
      <w:tr>
        <w:tc>
          <w:p>
            <w:r>
              <w:t xml:space="preserve">KX-203</w:t>
            </w:r>
          </w:p>
        </w:tc>
        <w:tc>
          <w:p>
            <w:r>
              <w:t xml:space="preserve">Périphérie</w:t>
            </w:r>
          </w:p>
        </w:tc>
        <w:tc>
          <w:p>
            <w:r>
              <w:t xml:space="preserve">Hors-ligne</w:t>
            </w:r>
          </w:p>
        </w:tc>
      </w:tr>
    </w:tbl>
    <w:p>
      <w:pPr>
        <w:pStyle w:val="Heading2"/>
      </w:pPr>
      <w:r>
        <w:t xml:space="preserve">Rappel de sécurité</w:t>
      </w:r>
    </w:p>
    <w:p>
      <w:r>
        <w:t xml:space="preserve">La duplication de ce document hors du réseau impérial constitue une </w:t>
      </w:r>
      <w:r>
        <w:rPr>
          <w:b/>
        </w:rPr>
        <w:t xml:space="preserve">infraction de classe I</w:t>
      </w:r>
      <w:r>
        <w:t xml:space="preserve">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