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3A3F44"/>
          <w:sz w:val="36"/>
          <w:szCs w:val="36"/>
        </w:rPr>
        <w:t xml:space="preserve">NOTE D'ANALYSE — TRAFIC NON IDENTIFIÉ, QUADRANT SUD</w:t>
      </w:r>
    </w:p>
    <w:p>
      <w:pPr>
        <w:spacing w:after="600"/>
        <w:jc w:val="center"/>
      </w:pPr>
      <w:r>
        <w:rPr>
          <w:rFonts w:ascii="Arial" w:cs="Arial" w:eastAsia="Arial" w:hAnsi="Arial"/>
          <w:i/>
          <w:iCs/>
          <w:sz w:val="20"/>
          <w:szCs w:val="20"/>
        </w:rPr>
        <w:t xml:space="preserve">Référence : IMP-CSK-RAP-014</w:t>
      </w:r>
    </w:p>
    <w:p>
      <w:pPr>
        <w:spacing w:after="200" w:before="400"/>
      </w:pPr>
      <w:r>
        <w:rPr>
          <w:rFonts w:ascii="Arial" w:cs="Arial" w:eastAsia="Arial" w:hAnsi="Arial"/>
          <w:b/>
          <w:bCs/>
          <w:color w:val="3A3F44"/>
          <w:sz w:val="24"/>
          <w:szCs w:val="24"/>
        </w:rPr>
        <w:t xml:space="preserve">SUIVI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3538"/>
      </w:tblGrid>
      <w:tr>
        <w:tc>
          <w:tcPr>
            <w:tcW w:type="dxa" w:w="15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Version</w:t>
            </w:r>
          </w:p>
        </w:tc>
        <w:tc>
          <w:tcPr>
            <w:tcW w:type="dxa" w:w="1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Date</w:t>
            </w:r>
          </w:p>
        </w:tc>
        <w:tc>
          <w:tcPr>
            <w:tcW w:type="dxa" w:w="2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Auteur</w:t>
            </w:r>
          </w:p>
        </w:tc>
        <w:tc>
          <w:tcPr>
            <w:tcW w:type="dxa" w:w="35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Nature de la modification</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0.1</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J.198</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Analyste R. Okuda</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Création — synthèse préliminaire</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J.203</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Analyste R. Okuda</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Version finale transmise au Bureau</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2.0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J.211</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Analyste R. Okuda</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section 4 — croisement avec les registres de capitainerie</w:t>
            </w:r>
          </w:p>
        </w:tc>
      </w:tr>
    </w:tbl>
    <w:p>
      <w:pPr>
        <w:spacing w:after="200" w:before="500"/>
      </w:pPr>
      <w:r>
        <w:rPr>
          <w:rFonts w:ascii="Arial" w:cs="Arial" w:eastAsia="Arial" w:hAnsi="Arial"/>
          <w:b/>
          <w:bCs/>
          <w:color w:val="3A3F44"/>
          <w:sz w:val="24"/>
          <w:szCs w:val="24"/>
        </w:rPr>
        <w:t xml:space="preserve">CLASSIFICATION ET DIFFUSION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Niveau</w:t>
            </w:r>
          </w:p>
        </w:tc>
        <w:tc>
          <w:tcPr>
            <w:tcW w:type="dxa" w:w="66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Distribution autorisée</w:t>
            </w:r>
          </w:p>
        </w:tc>
      </w:tr>
      <w:tr>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Diffusion restreinte</w:t>
            </w:r>
          </w:p>
        </w:tc>
        <w:tc>
          <w:tcPr>
            <w:tcW w:type="dxa" w:w="6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Bureau de Surveillance Sectoriel — copie administrateurs de station concernés</w:t>
            </w:r>
          </w:p>
        </w:tc>
      </w:tr>
    </w:tbl>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00"/>
      </w:pPr>
      <w:r>
        <w:rPr>
          <w:b/>
          <w:bCs/>
          <w:color w:val="3A3F44"/>
        </w:rPr>
        <w:t xml:space="preserve">1. OBJET</w:t>
      </w:r>
    </w:p>
    <w:p>
      <w:pPr>
        <w:spacing w:after="200"/>
      </w:pPr>
      <w:r>
        <w:t xml:space="preserve">La présente note synthétise les observations relatives à des schémas de trafic radio non identifiés relevés dans le quadrant sud du secteur Kessel au cours des cycles 15 à 19, incluant la zone de couverture de la station relais Kessel-Tho. Cette version intègre un travail de recoupement supplémentaire demandé par le Bureau de Surveillance Sectoriel suite à la transmission de la version 1.0.</w:t>
      </w:r>
    </w:p>
    <w:p>
      <w:pPr>
        <w:spacing w:after="200"/>
      </w:pPr>
      <w:r>
        <w:t xml:space="preserve">Le présent document ne constitue pas une base suffisante pour l'ouverture d'une procédure d'enquête formelle ; il vise à documenter un état de fait pour orientation des ressources de surveillance futures.</w:t>
      </w:r>
    </w:p>
    <w:p>
      <w:pPr>
        <w:pStyle w:val="Heading1"/>
        <w:spacing w:after="200" w:before="300"/>
      </w:pPr>
      <w:r>
        <w:rPr>
          <w:b/>
          <w:bCs/>
          <w:color w:val="3A3F44"/>
        </w:rPr>
        <w:t xml:space="preserve">2. CONTEXTE</w:t>
      </w:r>
    </w:p>
    <w:p>
      <w:pPr>
        <w:spacing w:after="200"/>
      </w:pPr>
      <w:r>
        <w:t xml:space="preserve">Plusieurs stations relais du quadrant ont rapporté, de manière indépendante et sans concertation préalable entre elles, de brefs pics d'activité sur des fréquences non répertoriées au registre commercial standard. Ces émissions, généralement nocturnes et de très courte durée (rarement plus de quatre-vingt-dix secondes), n'ont à ce jour fait l'objet d'aucune corrélation formelle entre elles avant le présent travail d'analyse.</w:t>
      </w:r>
    </w:p>
    <w:p>
      <w:pPr>
        <w:spacing w:after="200"/>
      </w:pPr>
      <w:r>
        <w:t xml:space="preserve">Le phénomène n'est pas nouveau en tant que tel : des relevés similaires, quoique plus épars, figurent dans les archives sectorielles remontant à plusieurs cycles. Ce qui justifie l'attention portée cette fois-ci est la légère densification observée depuis le cycle 15, sans qu'elle atteigne pour autant un seuil justifiant une alerte de niveau supérieur.</w:t>
      </w:r>
    </w:p>
    <w:p>
      <w:pPr>
        <w:spacing w:after="200"/>
      </w:pPr>
      <w:r>
        <w:t xml:space="preserve">Il convient de rappeler que la zone d'expansion présente une densité de trafic indépendant structurellement plus élevée que les secteurs centraux, ce qui complique mécaniquement la distinction entre activité commerciale non déclarée banale et activité potentiellement problématique.</w:t>
      </w:r>
    </w:p>
    <w:p>
      <w:pPr>
        <w:pStyle w:val="Heading1"/>
        <w:spacing w:after="200" w:before="300"/>
      </w:pPr>
      <w:r>
        <w:rPr>
          <w:b/>
          <w:bCs/>
          <w:color w:val="3A3F44"/>
        </w:rPr>
        <w:t xml:space="preserve">3. CONSTATS</w:t>
      </w:r>
    </w:p>
    <w:p>
      <w:pPr>
        <w:spacing w:after="200"/>
      </w:pPr>
      <w:r>
        <w:t xml:space="preserve">L'analyse des horodatages et des signatures de fréquence suggère des activités de contrebande de faible envergure, cohérentes avec des échanges commerciaux non déclarés entre opérateurs indépendants plutôt qu'avec une organisation structurée. Aucun élément ne permet à ce stade d'établir un lien avec des mouvements insurrectionnels connus dans le secteur.</w:t>
      </w:r>
    </w:p>
    <w:p>
      <w:pPr>
        <w:spacing w:after="200"/>
      </w:pPr>
      <w:r>
        <w:t xml:space="preserve">Il est à noter que la station Kessel-Tho, de par sa position excentrée en bordure de couloir commercial secondaire, présente un taux de détection légèrement supérieur à la moyenne du quadrant — ce qui reste attendu compte tenu de la densité du trafic commercial non officiel transitant par cette zone, et ne constitue pas en soi un indicateur d'anomalie locale.</w:t>
      </w:r>
    </w:p>
    <w:p>
      <w:pPr>
        <w:spacing w:after="200"/>
      </w:pPr>
      <w:r>
        <w:t xml:space="preserve">La répartition horaire des émissions montre une concentration marquée entre le dernier tiers du quart nocturne et le tout début du quart matinal, ce qui est cohérent avec des échanges cherchant à profiter d'une supervision réduite plutôt qu'avec un motif technique particulier.</w:t>
      </w:r>
    </w:p>
    <w:p>
      <w:pPr>
        <w:pStyle w:val="Heading1"/>
        <w:spacing w:after="200" w:before="300"/>
      </w:pPr>
      <w:r>
        <w:rPr>
          <w:b/>
          <w:bCs/>
          <w:color w:val="3A3F44"/>
        </w:rPr>
        <w:t xml:space="preserve">4. CROISEMENT AVEC LES REGISTRES DE LA CAPITAINERIE</w:t>
      </w:r>
    </w:p>
    <w:p>
      <w:pPr>
        <w:spacing w:after="200"/>
      </w:pPr>
      <w:r>
        <w:t xml:space="preserve">Afin d'affiner l'analyse, les horodatages des émissions non identifiées ont été croisés avec les registres d'entrée et de sortie de la capitainerie de Kessel-Tho pour la période concernée, dans le but d'identifier d'éventuels vaisseaux dont la présence sur zone coïnciderait de façon répétée avec les anomalies relevées.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638"/>
      </w:tblGrid>
      <w:tr>
        <w:tc>
          <w:tcPr>
            <w:tcW w:type="dxa" w:w="2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Vaisseau</w:t>
            </w:r>
          </w:p>
        </w:tc>
        <w:tc>
          <w:tcPr>
            <w:tcW w:type="dxa" w:w="24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Présence sur zone</w:t>
            </w:r>
          </w:p>
        </w:tc>
        <w:tc>
          <w:tcPr>
            <w:tcW w:type="dxa" w:w="24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Anomalies coïncidentes</w:t>
            </w:r>
          </w:p>
        </w:tc>
        <w:tc>
          <w:tcPr>
            <w:tcW w:type="dxa" w:w="26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Évaluation</w:t>
            </w:r>
          </w:p>
        </w:tc>
      </w:tr>
      <w:tr>
        <w:tc>
          <w:tcPr>
            <w:tcW w:type="dxa" w:w="2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Long Sillage</w:t>
            </w:r>
          </w:p>
        </w:tc>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C.16/J.005 à J.009 ; C.18/J.077 à J.081</w:t>
            </w:r>
          </w:p>
        </w:tc>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2 sur 2 séjours</w:t>
            </w:r>
          </w:p>
        </w:tc>
        <w:tc>
          <w:tcPr>
            <w:tcW w:type="dxa" w:w="2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Suspicion modérée — corrélation à confirmer sur séjour supplémentaire</w:t>
            </w:r>
          </w:p>
        </w:tc>
      </w:tr>
      <w:tr>
        <w:tc>
          <w:tcPr>
            <w:tcW w:type="dxa" w:w="2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Perce-Brume</w:t>
            </w:r>
          </w:p>
        </w:tc>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C.16/J.098 à J.101 ; C.19/J.145 à J.149</w:t>
            </w:r>
          </w:p>
        </w:tc>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 sur 2 séjours</w:t>
            </w:r>
          </w:p>
        </w:tc>
        <w:tc>
          <w:tcPr>
            <w:tcW w:type="dxa" w:w="2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Suspicion faible — coïncidence possiblement fortuite</w:t>
            </w:r>
          </w:p>
        </w:tc>
      </w:tr>
      <w:tr>
        <w:tc>
          <w:tcPr>
            <w:tcW w:type="dxa" w:w="2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Aube Grise</w:t>
            </w:r>
          </w:p>
        </w:tc>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C.17/J.033 à J.036</w:t>
            </w:r>
          </w:p>
        </w:tc>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 sur 1 séjour</w:t>
            </w:r>
          </w:p>
        </w:tc>
        <w:tc>
          <w:tcPr>
            <w:tcW w:type="dxa" w:w="2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Suspicion modérée — donnée insuffisante, séjour unique observé</w:t>
            </w:r>
          </w:p>
        </w:tc>
      </w:tr>
      <w:tr>
        <w:tc>
          <w:tcPr>
            <w:tcW w:type="dxa" w:w="2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Vestige</w:t>
            </w:r>
          </w:p>
        </w:tc>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C.17/J.140 à J.143</w:t>
            </w:r>
          </w:p>
        </w:tc>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0 sur 1 séjour</w:t>
            </w:r>
          </w:p>
        </w:tc>
        <w:tc>
          <w:tcPr>
            <w:tcW w:type="dxa" w:w="2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Aucune corrélation retenue</w:t>
            </w:r>
          </w:p>
        </w:tc>
      </w:tr>
      <w:tr>
        <w:tc>
          <w:tcPr>
            <w:tcW w:type="dxa" w:w="2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Marée Basse</w:t>
            </w:r>
          </w:p>
        </w:tc>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C.19/J.010 à J.012</w:t>
            </w:r>
          </w:p>
        </w:tc>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0 sur 1 séjour</w:t>
            </w:r>
          </w:p>
        </w:tc>
        <w:tc>
          <w:tcPr>
            <w:tcW w:type="dxa" w:w="2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Aucune corrélation retenue</w:t>
            </w:r>
          </w:p>
        </w:tc>
      </w:tr>
    </w:tbl>
    <w:p>
      <w:pPr>
        <w:spacing w:after="200"/>
      </w:pPr>
      <w:r>
        <w:t xml:space="preserve"/>
      </w:r>
    </w:p>
    <w:p>
      <w:pPr>
        <w:spacing w:after="200"/>
      </w:pPr>
      <w:r>
        <w:t xml:space="preserve">Le vaisseau Long Sillage ressort comme le candidat le plus notable de ce recoupement, sa présence sur zone coïncidant avec les deux fenêtres d'anomalie relevées durant ses séjours. Il est toutefois rappelé que ce vaisseau est un affréteur régulier et déclaré de la station (cf. registre logistique IMP-KTH-MAN-011), ce qui rend une explication commerciale banale au moins aussi probable qu'une activité dissimulée. Aucune mesure n'est prise à ce stade au-delà d'un signalement pour suivi.</w:t>
      </w:r>
    </w:p>
    <w:p>
      <w:pPr>
        <w:spacing w:after="200"/>
      </w:pPr>
      <w:r>
        <w:t xml:space="preserve">Le cas d'Aube Grise, bien que statistiquement moins solide (un seul séjour observé), mérite d'être conservé en mémoire pour comparaison lors d'un prochain passage du vaisseau sur la zone.</w:t>
      </w:r>
    </w:p>
    <w:p>
      <w:pPr>
        <w:pStyle w:val="Heading1"/>
        <w:spacing w:after="200" w:before="300"/>
      </w:pPr>
      <w:r>
        <w:rPr>
          <w:b/>
          <w:bCs/>
          <w:color w:val="3A3F44"/>
        </w:rPr>
        <w:t xml:space="preserve">5. RECOMMANDATIONS</w:t>
      </w:r>
    </w:p>
    <w:p>
      <w:pPr>
        <w:spacing w:after="200"/>
      </w:pPr>
      <w:r>
        <w:t xml:space="preserve">En l'absence d'indice de menace organisée, il n'est pas recommandé d'engager de ressources d'interception supplémentaires à ce stade. Une surveillance passive renforcée sur les canaux 40 à 52 est suggérée pour le prochain cycle, à réévaluer selon l'évolution des relevés.</w:t>
      </w:r>
    </w:p>
    <w:p>
      <w:pPr>
        <w:spacing w:after="200"/>
      </w:pPr>
      <w:r>
        <w:t xml:space="preserve">Il est recommandé de maintenir un suivi discret des mouvements du Long Sillage lors de ses prochains séjours sur la station, sans action directe ni interpellation, afin de confirmer ou d'infirmer la corrélation observée. Un point de situation sera intégré à la prochaine note périodique.</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IMP-CSK-RAP-014</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IMP-CSK-RAP-014</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2026-07-12T17:40:19.164Z</dcterms:created>
  <dcterms:modified xsi:type="dcterms:W3CDTF">2026-07-12T17:40:19.187Z</dcterms:modified>
</cp:coreProperties>
</file>

<file path=docProps/custom.xml><?xml version="1.0" encoding="utf-8"?>
<Properties xmlns="http://schemas.openxmlformats.org/officeDocument/2006/custom-properties" xmlns:vt="http://schemas.openxmlformats.org/officeDocument/2006/docPropsVTypes"/>
</file>