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科创前沿"/>
    <w:p>
      <w:pPr>
        <w:pStyle w:val="Heading2"/>
      </w:pPr>
      <w:r>
        <w:t xml:space="preserve">科创前沿</w:t>
      </w:r>
    </w:p>
    <w:bookmarkStart w:id="20" w:name="中国移动算力路由原创技术工作获重大突破"/>
    <w:p>
      <w:pPr>
        <w:pStyle w:val="Heading3"/>
      </w:pPr>
      <w:r>
        <w:t xml:space="preserve">中国移动“算力路由”原创技术工作获重大突破</w:t>
      </w:r>
    </w:p>
    <w:p>
      <w:pPr>
        <w:pStyle w:val="FirstParagraph"/>
      </w:pPr>
      <w:r>
        <w:t xml:space="preserve">该技术通过在互联网路由体系中引入算力因子，实现计算和网络的联合优化，其本质是对IP技术的创新。 “算力路由”是中国移动把握产业发展趋势，于2018年提出并启动研发形成的一套原创技术体系，是面向算力网络目标阶段“算网一体”的最核心原创技术。依托中国移动算力网络试验网，“算力路由”已被验证可在全局时延优化和系统处理容量上实现约30%的性能提升。</w:t>
      </w:r>
    </w:p>
    <w:bookmarkEnd w:id="20"/>
    <w:bookmarkStart w:id="21" w:name="腾讯云与中国信通院成立联合实验室推动算力服务市场创新发展"/>
    <w:p>
      <w:pPr>
        <w:pStyle w:val="Heading3"/>
      </w:pPr>
      <w:r>
        <w:t xml:space="preserve">腾讯云与中国信通院成立联合实验室，推动算力服务市场创新发展</w:t>
      </w:r>
    </w:p>
    <w:p>
      <w:pPr>
        <w:pStyle w:val="FirstParagraph"/>
      </w:pPr>
      <w:r>
        <w:t xml:space="preserve">此次成立联合实验室，双方将充分发挥各自产业研究、技术创新优势，围绕泛在智能算力相关研究及应用落地，构建现代化算力服务的管理和技术体系；开展相关的技术研究和产业实践，积极推动算力“底座”能力建设，为数字经济发展贡献积极力量。 腾讯云算力平台，支持海量异构算力调度，结合丰富应用支撑经验，为机器学习、大数据、科学计算等领域提供大规模、高弹性的智能算力服务。 在本次大会上，腾讯云还通过了中国信通院的“面向资源的算力调度技术能力要求”评测，成为了首批通过 的厂商之一。</w:t>
      </w:r>
    </w:p>
    <w:bookmarkEnd w:id="21"/>
    <w:bookmarkStart w:id="22" w:name="谷歌公布新一代ai超算"/>
    <w:p>
      <w:pPr>
        <w:pStyle w:val="Heading3"/>
      </w:pPr>
      <w:r>
        <w:t xml:space="preserve">谷歌公布新一代AI超算</w:t>
      </w:r>
    </w:p>
    <w:p>
      <w:pPr>
        <w:pStyle w:val="FirstParagraph"/>
      </w:pPr>
      <w:r>
        <w:t xml:space="preserve">4月5日消息，当地时间周二，Alphabet旗下的谷歌公开了一些新细节，展示了用于训练人工智能模型的超级计算机，称其比英伟达A100芯片的系统更快、更节能。 谷歌在论文中表示，与相同规模的系统相比，它的超级计算机比基于英伟达A100芯片的系统更快1.7倍，更节能1.9倍。谷歌的PaLM模型，是迄今为止公开披露的最大语言模型，它通过分布在两台4000芯片的超级计算机上进行了50天的训练。</w:t>
      </w:r>
    </w:p>
    <w:bookmarkEnd w:id="22"/>
    <w:bookmarkEnd w:id="23"/>
    <w:bookmarkStart w:id="28" w:name="政策速览"/>
    <w:p>
      <w:pPr>
        <w:pStyle w:val="Heading2"/>
      </w:pPr>
      <w:r>
        <w:t xml:space="preserve">政策速览</w:t>
      </w:r>
    </w:p>
    <w:bookmarkStart w:id="24" w:name="美国商务部就chatgpt等ai工具监管措施公开征求意见"/>
    <w:p>
      <w:pPr>
        <w:pStyle w:val="Heading3"/>
      </w:pPr>
      <w:r>
        <w:t xml:space="preserve">美国商务部就ChatGPT等AI工具监管措施公开征求意见</w:t>
      </w:r>
    </w:p>
    <w:p>
      <w:pPr>
        <w:pStyle w:val="FirstParagraph"/>
      </w:pPr>
      <w:r>
        <w:t xml:space="preserve">北京时间 4 月 11 日，美国商务部就ChatGPT等AI工具监管措施公开征求意见，由于人们越来越担心 ChatGPT 等人工智能工具可能被用于歧视或传播有害信息，美国拜登政府已经开始研究是否需要对这些工具进行检查</w:t>
      </w:r>
      <w:r>
        <w:t xml:space="preserve">，包括存在潜在风险的新人工智能模型在发布前是否应该通过一项认证程序。这些意见将在未来 60 天内被接受。</w:t>
      </w:r>
      <w:r>
        <w:t xml:space="preserve">美国政府此刻采取这一行动，适逢人工智能工具的使用正在蓬勃发展之际。他们和其他发布人工智能系统的公司表示，他们正在不断更新安全护栏，比如通过编程让聊天机器人不回答某些问题。</w:t>
      </w:r>
    </w:p>
    <w:bookmarkEnd w:id="24"/>
    <w:bookmarkStart w:id="25" w:name="X7f9ab016dc17d30fedfb7b8ecd72713cda8447d"/>
    <w:p>
      <w:pPr>
        <w:pStyle w:val="Heading3"/>
      </w:pPr>
      <w:r>
        <w:t xml:space="preserve">杭州高新区（滨江）最高给予1500万元！关于关于促进新一代人工智能创新发展、推动产业生态建设的若干政策的通知</w:t>
      </w:r>
    </w:p>
    <w:p>
      <w:pPr>
        <w:pStyle w:val="FirstParagraph"/>
      </w:pPr>
      <w:r>
        <w:t xml:space="preserve">4月11日，杭州高新区（滨江）发布《关于促进新一代人工智能创新发展、推动产业生态建设的若干政策》，</w:t>
      </w:r>
      <w:r>
        <w:t xml:space="preserve">鼓励针对人工智能关键技术开展研发攻关，支持申报市重大科技创新项目人工智能专项，对入选项目，按研发投入的20%给予补助，最高不超过500万元。杭州高新区（滨江）鼓励企业或机构将用于人工智能相关研发的高质量数据集接入数据公开交易平台，数据集被超过3家区内非关联企业调用的，经认定，按该数据集单次流通收益的10%给予奖励，单家企业年度补贴不超过100万元。 在智能网联汽车、智能家居、智能芯片、生命大健康、高端检验检测、测试分析领域实施“首台(套)”制度，对符合条件的人工智能创新产品，按照相关流程，给予首购首用的支持。</w:t>
      </w:r>
    </w:p>
    <w:bookmarkEnd w:id="25"/>
    <w:bookmarkStart w:id="26" w:name="国家互联网信息办公室发布关于生成式人工智能服务管理办法征求意见稿"/>
    <w:p>
      <w:pPr>
        <w:pStyle w:val="Heading3"/>
      </w:pPr>
      <w:r>
        <w:t xml:space="preserve">国家互联网信息办公室发布关于《生成式人工智能服务管理办法（征求意见稿）》</w:t>
      </w:r>
    </w:p>
    <w:p>
      <w:pPr>
        <w:pStyle w:val="FirstParagraph"/>
      </w:pPr>
      <w:r>
        <w:t xml:space="preserve">4月11日，国家互联网信息办公室发布了《生成式人工智能服务管理办法(征求意见稿)》，向社会公开征求意见。</w:t>
      </w:r>
      <w:r>
        <w:t xml:space="preserve">征求意见稿指出，国家支持人工智能算法、框架等基础技术的自主创新、推广应用、国际合作，鼓励优先采用安全可信的软件、工具、计算和数据资源。</w:t>
      </w:r>
      <w:r>
        <w:t xml:space="preserve">征求意见稿拟规定，利用生成式人工智能产品向公众提供服务前，应当按照《具有舆论属性或社会动员能力的互联网信息服务安全评估规定》向国家网信部门申报安全评估，并按照《互联网信息服务算法推荐管理规定》履行算法备案和变更、注销备案手续。</w:t>
      </w:r>
      <w:r>
        <w:t xml:space="preserve">此外，征求意见稿还拟规定，提供者在提供服务过程中，对用户的输入信息和使用记录承担保护义务。不得非法留存能够推断出用户身份的输入信息，不得根据用户输入信息和使用情况进行画像，不得向他人提供用户输入信息。法律法规另有规定的，从其规定。</w:t>
      </w:r>
    </w:p>
    <w:bookmarkEnd w:id="26"/>
    <w:bookmarkStart w:id="27" w:name="科技部启动国家超算互联网部署工作"/>
    <w:p>
      <w:pPr>
        <w:pStyle w:val="Heading3"/>
      </w:pPr>
      <w:r>
        <w:t xml:space="preserve">科技部启动国家超算互联网部署工作</w:t>
      </w:r>
    </w:p>
    <w:p>
      <w:pPr>
        <w:pStyle w:val="FirstParagraph"/>
      </w:pPr>
      <w:r>
        <w:t xml:space="preserve">4月17日，科技部高新司在天津组织召开国家超算互联网工作启动会。 按照计划，到2025年底，国家超算互联网将可形成技术先进、模式创新、服务优质、生态完善的总体布局，有效支撑原始科学创新、重大工程突破、经济高质量发展、人民生活品质提高等目标达成，成为支撑数字中国建设的“高速路”。 会上，科技部高新司负责同志表示，科技部将通过超算互联网建设，打造国家算力底座，促进超算算力的一体化运营，助力科技创新和经济社会高质量发展。</w:t>
      </w:r>
    </w:p>
    <w:bookmarkEnd w:id="27"/>
    <w:bookmarkEnd w:id="28"/>
    <w:bookmarkStart w:id="31" w:name="产业要报"/>
    <w:p>
      <w:pPr>
        <w:pStyle w:val="Heading2"/>
      </w:pPr>
      <w:r>
        <w:t xml:space="preserve">产业要报</w:t>
      </w:r>
    </w:p>
    <w:bookmarkStart w:id="29" w:name="算力中国行大型调研采访活动在京启动"/>
    <w:p>
      <w:pPr>
        <w:pStyle w:val="Heading3"/>
      </w:pPr>
      <w:r>
        <w:t xml:space="preserve">“算力中国行”大型调研采访活动在京启动</w:t>
      </w:r>
    </w:p>
    <w:p>
      <w:pPr>
        <w:pStyle w:val="FirstParagraph"/>
      </w:pPr>
      <w:r>
        <w:t xml:space="preserve">“算力中国行”大型调研采访活动4月10日在京启动。</w:t>
      </w:r>
      <w:r>
        <w:t xml:space="preserve">开展此次调研采访活动，旨在全面了解我国算力基础设施发展现状，挖掘算力基础设施建设的新技术、新成果、新应用，探索算力赋能传统行业的数字化转型之道。 活动由工业和信息化部新闻宣传中心、中国信息通信研究院、中国邮电新闻工作者协会等组织，相关省（区、市）通信管理局及工业和信息化主管部门、基础电信企业、设备制造企业、互联网企业等联合实施。将选取算力基础设施建设快、应用成果好、产业发展显著的省份、企业和产业，采用“实地采访+座谈会+调研问卷”的形式，深入了解各地的算力基础设施建设情况、算力应用发展情况。</w:t>
      </w:r>
    </w:p>
    <w:bookmarkEnd w:id="29"/>
    <w:bookmarkStart w:id="30" w:name="年人工智能ai指数报告发布"/>
    <w:p>
      <w:pPr>
        <w:pStyle w:val="Heading3"/>
      </w:pPr>
      <w:r>
        <w:t xml:space="preserve">《2023年人工智能（AI）指数报告》发布</w:t>
      </w:r>
    </w:p>
    <w:p>
      <w:pPr>
        <w:pStyle w:val="FirstParagraph"/>
      </w:pPr>
      <w:r>
        <w:t xml:space="preserve">斯坦福大学发布2023年人工智能（AI）指数报告，报告指出，世界上大多数的大型语言模型和多模态模型（2022年54%）是由美国机构产生的。 通过对这些模型作者的国家隶属关系进行了分析，这些研究人员中的大多数来自美国机构（54.2%）。 自2010年以来，中国人工智能期刊论文被引频次占比逐步上升，欧盟、英国、美国均有所下降。</w:t>
      </w:r>
    </w:p>
    <w:bookmarkEnd w:id="30"/>
    <w:bookmarkEnd w:id="31"/>
    <w:bookmarkStart w:id="35" w:name="企业动态"/>
    <w:p>
      <w:pPr>
        <w:pStyle w:val="Heading2"/>
      </w:pPr>
      <w:r>
        <w:t xml:space="preserve">企业动态</w:t>
      </w:r>
    </w:p>
    <w:bookmarkStart w:id="32" w:name="阿里巴巴所有产品未来将接入大模型全面改造"/>
    <w:p>
      <w:pPr>
        <w:pStyle w:val="Heading3"/>
      </w:pPr>
      <w:r>
        <w:t xml:space="preserve">阿里巴巴所有产品未来将接入大模型全面改造</w:t>
      </w:r>
    </w:p>
    <w:p>
      <w:pPr>
        <w:pStyle w:val="FirstParagraph"/>
      </w:pPr>
      <w:r>
        <w:t xml:space="preserve">4月11日，阿里巴巴集团董事会主席兼CEO、阿里云智能集团CEO张勇在云峰会上表示，阿里巴巴所有产品未来将接入“通义千问”大模型，进行全面改造。</w:t>
      </w:r>
      <w:r>
        <w:t xml:space="preserve">张勇表示，面向AI时代，所有产品都值得用大模型重做一次，基于这一信念，阿里云希望帮助更多企业用上大模型，让每家企业都能基于“通义千问”，拥有具备自己行业能力的专属大模型。</w:t>
      </w:r>
      <w:r>
        <w:t xml:space="preserve">他同时指出，大模型是一场“AI+云计算”的全方位竞争，超万亿参数的大模型研发，并不仅仅是算法问题，而是囊括了底层庞大算力、网络、大数据、机器学习等诸多领域的复杂系统性工程，需要有超大规模AI基础设施的支撑。</w:t>
      </w:r>
      <w:r>
        <w:br/>
      </w:r>
    </w:p>
    <w:bookmarkEnd w:id="32"/>
    <w:bookmarkStart w:id="33" w:name="商汤科技发布日日新sensenova-大模型体系"/>
    <w:p>
      <w:pPr>
        <w:pStyle w:val="Heading3"/>
      </w:pPr>
      <w:r>
        <w:t xml:space="preserve">商汤科技发布“日日新SenseNova ”大模型体系</w:t>
      </w:r>
    </w:p>
    <w:p>
      <w:pPr>
        <w:pStyle w:val="FirstParagraph"/>
      </w:pPr>
      <w:r>
        <w:t xml:space="preserve">商汤科技宣布推出语言大模型“商量SenseChat”，具备多轮次对话能力 商汤科技宣布推出语言大模型“商量 SenseChat”：支持多轮次对话、编写代码 商汤科技2022年实现营收38.09亿元，净亏损达60.93亿元 Copyright©1999-2023 c114 All Rights Reserved | 。</w:t>
      </w:r>
    </w:p>
    <w:bookmarkEnd w:id="33"/>
    <w:bookmarkStart w:id="34" w:name="X083b3e32fb09fe2d8727e1c5f0d95ca034311c4"/>
    <w:p>
      <w:pPr>
        <w:pStyle w:val="Heading3"/>
      </w:pPr>
      <w:r>
        <w:t xml:space="preserve">SEMI：预计2026年全球晶圆月产能将达到960万片 美国产能占比大幅提升45倍至近9%</w:t>
      </w:r>
    </w:p>
    <w:p>
      <w:pPr>
        <w:pStyle w:val="FirstParagraph"/>
      </w:pPr>
      <w:r>
        <w:t xml:space="preserve">SEMI：预计2026年全球晶圆月产能将达到960万片 美国产能占比大幅提升45倍至近9% 随着半导体市场需求疲软，以及多家芯片制造商纷纷削减资本支出，预计今年12吋晶圆厂产能增加将趋缓，增幅将只有约6%。 按照计划，以上诸多在美国新建的晶圆厂项目都将于2026年底之前实现量产，届时将极大提升美国本土的12吋晶圆产能。目前韩国三星、SK海力士的存储芯片制造大厂因存储市场需求疲软影响晶圆厂资本支出，再加上其他地区的更为庞大的产能扩张的竞争，SEMI预计韩国12吋晶圆产能占全球比重将自2022年的25%，降至2026年的23%。</w:t>
      </w:r>
    </w:p>
    <w:bookmarkEnd w:id="34"/>
    <w:bookmarkEnd w:id="35"/>
    <w:bookmarkStart w:id="39" w:name="区域亮点"/>
    <w:p>
      <w:pPr>
        <w:pStyle w:val="Heading2"/>
      </w:pPr>
      <w:r>
        <w:t xml:space="preserve">区域亮点</w:t>
      </w:r>
    </w:p>
    <w:bookmarkStart w:id="36" w:name="广州算力算出大湾区新未来"/>
    <w:p>
      <w:pPr>
        <w:pStyle w:val="Heading3"/>
      </w:pPr>
      <w:r>
        <w:t xml:space="preserve">广州算力“算出”大湾区新未来</w:t>
      </w:r>
    </w:p>
    <w:p>
      <w:pPr>
        <w:pStyle w:val="FirstParagraph"/>
      </w:pPr>
      <w:r>
        <w:t xml:space="preserve">广州作为工信部批复的国家新一代人工智能创新应用先导区和科技部批复的国家新一代人工智能创新发展试验区，已建设运营了全栈国产化的广州人工智能公共算力中心，正在为中小企业、行业用户、科研机构等，提供普惠算力、创新孵化、产业聚合、科技协同、人才培养等服务。</w:t>
      </w:r>
      <w:r>
        <w:t xml:space="preserve"> </w:t>
      </w:r>
      <w:r>
        <w:t xml:space="preserve">作为粤港澳大湾区落地的公共服务性质的算力基础设施，自运营以来，广州人工智能公共算力中心已初步对接150+企业，赋能广州11条重点产业链，其中，45%的企业为“专精特新”；算力中心联合各行业的伙伴打造了80多个解决方案。</w:t>
      </w:r>
    </w:p>
    <w:bookmarkEnd w:id="36"/>
    <w:bookmarkStart w:id="37" w:name="北京成立数据资产管理与处理生态系统专利池"/>
    <w:p>
      <w:pPr>
        <w:pStyle w:val="Heading3"/>
      </w:pPr>
      <w:r>
        <w:t xml:space="preserve">北京成立“数据资产管理与处理生态系统”专利池</w:t>
      </w:r>
    </w:p>
    <w:p>
      <w:pPr>
        <w:pStyle w:val="FirstParagraph"/>
      </w:pPr>
      <w:r>
        <w:t xml:space="preserve">由北京知识产权保护协会与数字经济领域相关企业联合组建的“数据资产管理与处理生态系统”专利池近日在北京成立。 《“十四五”国家知识产权保护和运用规划》指出，推动在数字经济等重点领域组建产业知识产权联盟，构筑产业专利池。“数据资产管理与处理生态系统”专利池首批创始成员涵盖数字经济上下游产业链，涉及互联网、集成电路、云计算、网络安全等细分产业领域。</w:t>
      </w:r>
    </w:p>
    <w:bookmarkEnd w:id="37"/>
    <w:bookmarkStart w:id="38" w:name="上海全面实施智能工厂领航计划"/>
    <w:p>
      <w:pPr>
        <w:pStyle w:val="Heading3"/>
      </w:pPr>
      <w:r>
        <w:t xml:space="preserve">上海全面实施智能工厂领航计划</w:t>
      </w:r>
    </w:p>
    <w:p>
      <w:pPr>
        <w:pStyle w:val="FirstParagraph"/>
      </w:pPr>
      <w:r>
        <w:t xml:space="preserve">未来3年，上海将全面实施智能工厂领航计划，建设200家智能工厂、20家标杆性智能工厂。未来3年，上海智能工厂领航计划将实现3个全覆盖(智能工厂评估诊断、重点区域数字化网络化、六大重点产业链主企业智能化水平等级)，达成5个核心指标倍增(智能制造标准制修订数、智能制造装备产业规模、应用场景推广数、工业机器人产量、智能制造新技术突破数)。今后，上海将继续加大智能工厂建设推进力度，推进智能制造评估诊断“全覆盖”。</w:t>
      </w:r>
    </w:p>
    <w:bookmarkEnd w:id="38"/>
    <w:bookmarkEnd w:id="39"/>
    <w:bookmarkStart w:id="40" w:name="数经评论"/>
    <w:p>
      <w:pPr>
        <w:pStyle w:val="Heading2"/>
      </w:pPr>
      <w:r>
        <w:t xml:space="preserve">数经评论</w:t>
      </w:r>
    </w:p>
    <w:bookmarkEnd w:id="40"/>
    <w:bookmarkStart w:id="67" w:name="无标签"/>
    <w:p>
      <w:pPr>
        <w:pStyle w:val="Heading2"/>
      </w:pPr>
      <w:r>
        <w:t xml:space="preserve">无标签</w:t>
      </w:r>
    </w:p>
    <w:bookmarkStart w:id="41" w:name="国家互联网信息办公室关于生成式人工智能服务管理办法征求意见稿公开征求意见的通知"/>
    <w:p>
      <w:pPr>
        <w:pStyle w:val="Heading3"/>
      </w:pPr>
      <w:r>
        <w:t xml:space="preserve">国家互联网信息办公室关于《生成式人工智能服务管理办法（征求意见稿）》公开征求意见的通知</w:t>
      </w:r>
    </w:p>
    <w:bookmarkEnd w:id="41"/>
    <w:bookmarkStart w:id="42" w:name="首项数字化供应链国际标准在国际电联正式发布"/>
    <w:p>
      <w:pPr>
        <w:pStyle w:val="Heading3"/>
      </w:pPr>
      <w:r>
        <w:t xml:space="preserve">首项数字化供应链国际标准在国际电联正式发布</w:t>
      </w:r>
    </w:p>
    <w:bookmarkEnd w:id="42"/>
    <w:bookmarkStart w:id="43" w:name="工信部三方面发力-分阶段分领域打造具有国际竞争力的数字产业集群"/>
    <w:p>
      <w:pPr>
        <w:pStyle w:val="Heading3"/>
      </w:pPr>
      <w:r>
        <w:t xml:space="preserve">工信部：三方面发力 分阶段分领域打造具有国际竞争力的数字产业集群</w:t>
      </w:r>
    </w:p>
    <w:bookmarkEnd w:id="43"/>
    <w:bookmarkStart w:id="44" w:name="关于加快推进能源数字化智能化发展的若干意见印发"/>
    <w:p>
      <w:pPr>
        <w:pStyle w:val="Heading3"/>
      </w:pPr>
      <w:r>
        <w:t xml:space="preserve">《关于加快推进能源数字化智能化发展的若干意见》印发</w:t>
      </w:r>
    </w:p>
    <w:bookmarkEnd w:id="44"/>
    <w:bookmarkStart w:id="45" w:name="贵阳贵安数字经济赋能城市高质量发展"/>
    <w:p>
      <w:pPr>
        <w:pStyle w:val="Heading3"/>
      </w:pPr>
      <w:r>
        <w:t xml:space="preserve">贵阳贵安：数字经济赋能城市高质量发展</w:t>
      </w:r>
    </w:p>
    <w:bookmarkEnd w:id="45"/>
    <w:bookmarkStart w:id="46" w:name="政策解读青岛市超高清视频产业发展行动计划20232025年"/>
    <w:p>
      <w:pPr>
        <w:pStyle w:val="Heading3"/>
      </w:pPr>
      <w:r>
        <w:t xml:space="preserve">政策解读|青岛市超高清视频产业发展行动计划（2023—2025年）</w:t>
      </w:r>
    </w:p>
    <w:bookmarkEnd w:id="46"/>
    <w:bookmarkStart w:id="47" w:name="能源产业转型加剧国家能源局关于加快推进能源数字化智能化发展的若干意见"/>
    <w:p>
      <w:pPr>
        <w:pStyle w:val="Heading3"/>
      </w:pPr>
      <w:r>
        <w:t xml:space="preserve">能源产业转型加剧！国家能源局关于加快推进能源数字化智能化发展的若干意见</w:t>
      </w:r>
    </w:p>
    <w:bookmarkEnd w:id="47"/>
    <w:bookmarkStart w:id="48" w:name="阿里推出大模型通义千问未来其所有产品都将接入升级"/>
    <w:p>
      <w:pPr>
        <w:pStyle w:val="Heading3"/>
      </w:pPr>
      <w:r>
        <w:t xml:space="preserve">阿里推出大模型“通义千问”，未来其所有产品都将接入升级</w:t>
      </w:r>
    </w:p>
    <w:bookmarkEnd w:id="48"/>
    <w:bookmarkStart w:id="49" w:name="募资25亿上市公司易成新能加码锂电光伏"/>
    <w:p>
      <w:pPr>
        <w:pStyle w:val="Heading3"/>
      </w:pPr>
      <w:r>
        <w:t xml:space="preserve">募资25亿！上市公司易成新能加码“锂电+光伏”</w:t>
      </w:r>
    </w:p>
    <w:bookmarkEnd w:id="49"/>
    <w:bookmarkStart w:id="50" w:name="macbook-pro将在2026年升级oled屏幕-由三星显示供应"/>
    <w:p>
      <w:pPr>
        <w:pStyle w:val="Heading3"/>
      </w:pPr>
      <w:r>
        <w:t xml:space="preserve">MacBook Pro将在2026年升级OLED屏幕 由三星显示供应</w:t>
      </w:r>
    </w:p>
    <w:bookmarkEnd w:id="50"/>
    <w:bookmarkStart w:id="51" w:name="教育部1x试点启动-宇视培养应用创新人才"/>
    <w:p>
      <w:pPr>
        <w:pStyle w:val="Heading3"/>
      </w:pPr>
      <w:r>
        <w:t xml:space="preserve">教育部『1+X』试点启动 宇视培养应用创新人才</w:t>
      </w:r>
    </w:p>
    <w:bookmarkEnd w:id="51"/>
    <w:bookmarkStart w:id="52" w:name="大型语言模型综述全新出炉从t5到gpt-4最全盘点国内20余位研究者联合撰写"/>
    <w:p>
      <w:pPr>
        <w:pStyle w:val="Heading3"/>
      </w:pPr>
      <w:r>
        <w:t xml:space="preserve">大型语言模型综述全新出炉：从T5到GPT-4最全盘点，国内20余位研究者联合撰写</w:t>
      </w:r>
    </w:p>
    <w:bookmarkEnd w:id="52"/>
    <w:bookmarkStart w:id="53" w:name="提出全程网办原则广州修订网上办事..."/>
    <w:p>
      <w:pPr>
        <w:pStyle w:val="Heading3"/>
      </w:pPr>
      <w:r>
        <w:t xml:space="preserve">提出“全程网办”原则，广州修订网上办事...</w:t>
      </w:r>
    </w:p>
    <w:bookmarkEnd w:id="53"/>
    <w:bookmarkStart w:id="54" w:name="长三角政务服务一网通办上线148项..."/>
    <w:p>
      <w:pPr>
        <w:pStyle w:val="Heading3"/>
      </w:pPr>
      <w:r>
        <w:t xml:space="preserve">长三角政务服务“一网通办”上线148项，...</w:t>
      </w:r>
    </w:p>
    <w:bookmarkEnd w:id="54"/>
    <w:bookmarkStart w:id="55" w:name="安徽省深入推进一业一查-营造无事不..."/>
    <w:p>
      <w:pPr>
        <w:pStyle w:val="Heading3"/>
      </w:pPr>
      <w:r>
        <w:t xml:space="preserve">安徽省深入推进“一业一查” 营造无事不...</w:t>
      </w:r>
    </w:p>
    <w:bookmarkEnd w:id="55"/>
    <w:bookmarkStart w:id="56" w:name="苹果最强mr头显问世售价2万引争议或成vrarmr行业鲶鱼"/>
    <w:p>
      <w:pPr>
        <w:pStyle w:val="Heading3"/>
      </w:pPr>
      <w:r>
        <w:t xml:space="preserve">苹果“最强”MR头显问世，售价2万引争议，或成VR/AR/MR行业鲶鱼</w:t>
      </w:r>
    </w:p>
    <w:bookmarkEnd w:id="56"/>
    <w:bookmarkStart w:id="57" w:name="储能黑马海辰储能成功获得680亿融资"/>
    <w:p>
      <w:pPr>
        <w:pStyle w:val="Heading3"/>
      </w:pPr>
      <w:r>
        <w:t xml:space="preserve">储能黑马海辰储能成功获得680亿“融资”！</w:t>
      </w:r>
    </w:p>
    <w:bookmarkEnd w:id="57"/>
    <w:bookmarkStart w:id="58" w:name="宁德时代电动汽车电池装机量在前两月依旧居首-比亚迪跃居第二"/>
    <w:p>
      <w:pPr>
        <w:pStyle w:val="Heading3"/>
      </w:pPr>
      <w:r>
        <w:t xml:space="preserve">宁德时代电动汽车电池装机量在前两月依旧居首 比亚迪跃居第二</w:t>
      </w:r>
    </w:p>
    <w:bookmarkEnd w:id="58"/>
    <w:bookmarkStart w:id="59" w:name="科技部与中国银行联合发布中银-火炬创新积分贷"/>
    <w:p>
      <w:pPr>
        <w:pStyle w:val="Heading3"/>
      </w:pPr>
      <w:r>
        <w:t xml:space="preserve">科技部与中国银行联合发布中银-火炬“创新积分贷”</w:t>
      </w:r>
    </w:p>
    <w:bookmarkEnd w:id="59"/>
    <w:bookmarkStart w:id="60" w:name="社交元宇宙soul在港交所递交招股书"/>
    <w:p>
      <w:pPr>
        <w:pStyle w:val="Heading3"/>
      </w:pPr>
      <w:r>
        <w:t xml:space="preserve">社交元宇宙Soul在港交所递交招股书</w:t>
      </w:r>
    </w:p>
    <w:bookmarkEnd w:id="60"/>
    <w:bookmarkStart w:id="61" w:name="利氪科技完成4亿元人民币b轮融资"/>
    <w:p>
      <w:pPr>
        <w:pStyle w:val="Heading3"/>
      </w:pPr>
      <w:r>
        <w:t xml:space="preserve">利氪科技完成4亿元人民币B轮融资</w:t>
      </w:r>
    </w:p>
    <w:bookmarkEnd w:id="61"/>
    <w:bookmarkStart w:id="62" w:name="深圳人工智能第一股诞生云天励飞正式登陆科创板"/>
    <w:p>
      <w:pPr>
        <w:pStyle w:val="Heading3"/>
      </w:pPr>
      <w:r>
        <w:t xml:space="preserve">深圳“人工智能第一股”诞生！云天励飞正式登陆科创板</w:t>
      </w:r>
    </w:p>
    <w:bookmarkEnd w:id="62"/>
    <w:bookmarkStart w:id="63" w:name="福州高新区福州市元宇宙产业园正式揭牌"/>
    <w:p>
      <w:pPr>
        <w:pStyle w:val="Heading3"/>
      </w:pPr>
      <w:r>
        <w:t xml:space="preserve">福州高新区：福州市元宇宙产业园正式揭牌</w:t>
      </w:r>
    </w:p>
    <w:bookmarkEnd w:id="63"/>
    <w:bookmarkStart w:id="64" w:name="工信部计划在全国范围内再培育100个中小企业特色产业集群"/>
    <w:p>
      <w:pPr>
        <w:pStyle w:val="Heading3"/>
      </w:pPr>
      <w:r>
        <w:t xml:space="preserve">工信部：计划在全国范围内再培育100个中小企业特色产业集群</w:t>
      </w:r>
    </w:p>
    <w:bookmarkEnd w:id="64"/>
    <w:bookmarkStart w:id="65" w:name="武汉光谷与北京大学共建国家智能社会治理实验综合基地"/>
    <w:p>
      <w:pPr>
        <w:pStyle w:val="Heading3"/>
      </w:pPr>
      <w:r>
        <w:t xml:space="preserve">武汉光谷与北京大学共建国家智能社会治理实验综合基地</w:t>
      </w:r>
    </w:p>
    <w:bookmarkEnd w:id="65"/>
    <w:bookmarkStart w:id="66" w:name="贵阳一窗通办22模式-深入推进政务..."/>
    <w:p>
      <w:pPr>
        <w:pStyle w:val="Heading3"/>
      </w:pPr>
      <w:r>
        <w:t xml:space="preserve">贵阳：一窗通办“2+2“模式 深入推进政务...</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2023-05-10T08:42:48Z</dcterms:created>
  <dcterms:modified xsi:type="dcterms:W3CDTF">2023-05-10T08:42:48Z</dcterms:modified>
</cp:coreProperties>
</file>

<file path=docProps/custom.xml><?xml version="1.0" encoding="utf-8"?>
<Properties xmlns="http://schemas.openxmlformats.org/officeDocument/2006/custom-properties" xmlns:vt="http://schemas.openxmlformats.org/officeDocument/2006/docPropsVTypes"/>
</file>