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ESPECIFICACIÓN Y EVIDENCIAS DEL PROYECTO</w:t>
      </w:r>
    </w:p>
    <w:p>
      <w:pPr>
        <w:pStyle w:val="Title"/>
      </w:pPr>
      <w:r>
        <w:t>Cobertura de testing V2 — HuertoHogar React</w:t>
      </w:r>
    </w:p>
    <w:p>
      <w:r>
        <w:rPr>
          <w:b/>
        </w:rPr>
        <w:t>DSY1104 · Evaluación Parcial 2 · Anexo 1 · 21-10-2026</w:t>
      </w:r>
    </w:p>
    <w:p>
      <w:pPr>
        <w:pStyle w:val="Heading1"/>
      </w:pPr>
      <w:r>
        <w:t>1. Alcance</w:t>
      </w:r>
    </w:p>
    <w:p>
      <w:r>
        <w:t xml:space="preserve">El anexo recomienda verificar </w:t>
      </w:r>
      <w:r>
        <w:rPr>
          <w:b/>
        </w:rPr>
        <w:t>renderizado normal y condicional, props, state y eventos</w:t>
      </w:r>
      <w:r>
        <w:t xml:space="preserve">. La rúbrica solicita demostrar al menos </w:t>
      </w:r>
      <w:r>
        <w:rPr>
          <w:b/>
        </w:rPr>
        <w:t>10 pruebas unitarias correctas</w:t>
      </w:r>
      <w:r>
        <w:t xml:space="preserve">. Esta versión define </w:t>
      </w:r>
      <w:r>
        <w:rPr>
          <w:b/>
        </w:rPr>
        <w:t>28 casos Jasmine/Karma</w:t>
      </w:r>
      <w:r>
        <w:t>, integrando mocks y consultas del DOM de React Testing Library.</w:t>
      </w:r>
    </w:p>
    <w:p>
      <w:pPr>
        <w:pStyle w:val="Heading1"/>
      </w:pPr>
      <w:r>
        <w:t>2. Herramientas y ejecución</w:t>
      </w:r>
    </w:p>
    <w:p>
      <w:r>
        <w:t>Frontend: React 18 + Vite + Bootstrap. Pruebas: Jasmine 5 + Karma 6 + Webpack/Babel, ChromeHeadless, React Testing Library. Cobertura: plugin Istanbul + karma-coverage (resumen HTML y LCOV).</w:t>
      </w:r>
    </w:p>
    <w:p>
      <w:pPr/>
      <w:r>
        <w:rPr>
          <w:rFonts w:ascii="Consolas" w:hAnsi="Consolas"/>
          <w:sz w:val="16"/>
        </w:rPr>
        <w:t>npm install</w:t>
      </w:r>
      <w:r>
        <w:br/>
      </w:r>
      <w:r>
        <w:rPr>
          <w:rFonts w:ascii="Consolas" w:hAnsi="Consolas"/>
          <w:sz w:val="16"/>
        </w:rPr>
        <w:t>npm test</w:t>
      </w:r>
      <w:r>
        <w:br/>
      </w:r>
      <w:r>
        <w:rPr>
          <w:rFonts w:ascii="Consolas" w:hAnsi="Consolas"/>
          <w:sz w:val="16"/>
        </w:rPr>
        <w:t>npm run test:coverage</w:t>
      </w:r>
      <w:r>
        <w:br/>
      </w:r>
      <w:r>
        <w:rPr>
          <w:rFonts w:ascii="Consolas" w:hAnsi="Consolas"/>
          <w:sz w:val="16"/>
        </w:rPr>
        <w:t># Abrir coverage/html/index.html</w:t>
      </w:r>
    </w:p>
    <w:p>
      <w:r>
        <w:t xml:space="preserve">Prueba adicional de backend (Node integrado, sin dependencias): </w:t>
      </w:r>
      <w:r>
        <w:rPr>
          <w:rFonts w:ascii="Consolas" w:hAnsi="Consolas"/>
          <w:sz w:val="16"/>
        </w:rPr>
        <w:t>npm run test:server</w:t>
      </w:r>
      <w:r>
        <w:t>.</w:t>
      </w:r>
    </w:p>
    <w:p>
      <w:pPr>
        <w:pStyle w:val="Heading1"/>
      </w:pPr>
      <w:r>
        <w:t>3. Matriz de 28 casos diseñados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50"/>
        <w:gridCol w:w="2450"/>
        <w:gridCol w:w="2450"/>
        <w:gridCol w:w="2450"/>
      </w:tblGrid>
      <w:tr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b/>
                <w:sz w:val="14"/>
              </w:rPr>
              <w:t>Caso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b/>
                <w:sz w:val="14"/>
              </w:rPr>
              <w:t>Prueba/archivo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b/>
                <w:sz w:val="14"/>
              </w:rPr>
              <w:t>Comprobación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b/>
                <w:sz w:val="14"/>
              </w:rPr>
              <w:t>Tipo</w:t>
            </w:r>
          </w:p>
        </w:tc>
      </w:tr>
      <w:tr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01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ProductCard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Nombre, precio y enlace de detalle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Props/DOM</w:t>
            </w:r>
          </w:p>
        </w:tc>
      </w:tr>
      <w:tr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02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ProductCard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Llama callback de agregar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Evento/mock</w:t>
            </w:r>
          </w:p>
        </w:tc>
      </w:tr>
      <w:tr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03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Catalog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Renderiza seis productos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Renderizado</w:t>
            </w:r>
          </w:p>
        </w:tc>
      </w:tr>
      <w:tr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04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Catalog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Cambio de categoría modifica lista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State/evento</w:t>
            </w:r>
          </w:p>
        </w:tc>
      </w:tr>
      <w:tr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05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Catalog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Búsqueda sin resultados muestra aviso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DOM/condicional</w:t>
            </w:r>
          </w:p>
        </w:tc>
      </w:tr>
      <w:tr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06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Cart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Carrito vacío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Condicional</w:t>
            </w:r>
          </w:p>
        </w:tc>
      </w:tr>
      <w:tr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07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Cart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Totales y subtotales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Lógica</w:t>
            </w:r>
          </w:p>
        </w:tc>
      </w:tr>
      <w:tr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08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Cart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Aumentar invoca callback correcto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Evento/mock</w:t>
            </w:r>
          </w:p>
        </w:tc>
      </w:tr>
      <w:tr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09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Cart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Eliminar invoca callback correcto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Evento/mock</w:t>
            </w:r>
          </w:p>
        </w:tc>
      </w:tr>
      <w:tr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10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Contact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Formulario inválido muestra errores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Validación/DOM</w:t>
            </w:r>
          </w:p>
        </w:tc>
      </w:tr>
      <w:tr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11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Contact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Formulario correcto ejecuta mock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Eventos/props</w:t>
            </w:r>
          </w:p>
        </w:tc>
      </w:tr>
      <w:tr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12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Storage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Recupera carrito original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Persistencia</w:t>
            </w:r>
          </w:p>
        </w:tc>
      </w:tr>
      <w:tr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13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Storage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Agregar no muta entrada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Función pura</w:t>
            </w:r>
          </w:p>
        </w:tc>
      </w:tr>
      <w:tr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14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Storage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Cantidades y total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Función pura</w:t>
            </w:r>
          </w:p>
        </w:tc>
      </w:tr>
      <w:tr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15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Database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Crear registro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CRUD/función pura</w:t>
            </w:r>
          </w:p>
        </w:tc>
      </w:tr>
      <w:tr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16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Database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Actualizar registro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CRUD/función pura</w:t>
            </w:r>
          </w:p>
        </w:tc>
      </w:tr>
      <w:tr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17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Database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Eliminar registro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CRUD/función pura</w:t>
            </w:r>
          </w:p>
        </w:tc>
      </w:tr>
      <w:tr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18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Database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Generar slug de categoría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Función pura</w:t>
            </w:r>
          </w:p>
        </w:tc>
      </w:tr>
      <w:tr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19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Database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Calcular precio con descuento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Oferta/carrito</w:t>
            </w:r>
          </w:p>
        </w:tc>
      </w:tr>
      <w:tr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20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Database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Crear pedido rechazado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Checkout/lógica</w:t>
            </w:r>
          </w:p>
        </w:tc>
      </w:tr>
      <w:tr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21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NewViews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Categorías y sus enlaces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Props/DOM</w:t>
            </w:r>
          </w:p>
        </w:tc>
      </w:tr>
      <w:tr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22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NewViews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Ofertas filtradas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Condicional</w:t>
            </w:r>
          </w:p>
        </w:tc>
      </w:tr>
      <w:tr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23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NewViews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Checkout inválido muestra errores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State/validación</w:t>
            </w:r>
          </w:p>
        </w:tc>
      </w:tr>
      <w:tr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24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NewViews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Datos precargados y pedido aprobado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Props/evento/mock</w:t>
            </w:r>
          </w:p>
        </w:tc>
      </w:tr>
      <w:tr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25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NewViews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Pedido rechazado desde selector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State/evento/mock</w:t>
            </w:r>
          </w:p>
        </w:tc>
      </w:tr>
      <w:tr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26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NewViews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Resultado y resumen de pedido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Renderizado</w:t>
            </w:r>
          </w:p>
        </w:tc>
      </w:tr>
      <w:tr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27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Admin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Crear producto desde formulario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Evento/mock/CRUD</w:t>
            </w:r>
          </w:p>
        </w:tc>
      </w:tr>
      <w:tr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28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Admin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Métricas en dashboard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sz w:val="14"/>
              </w:rPr>
              <w:t>Props/DOM</w:t>
            </w:r>
          </w:p>
        </w:tc>
      </w:tr>
    </w:tbl>
    <w:p/>
    <w:p>
      <w:r>
        <w:t xml:space="preserve">Además se incluye </w:t>
      </w:r>
      <w:r>
        <w:rPr>
          <w:b/>
        </w:rPr>
        <w:t>una prueba de integración HTTP independiente</w:t>
      </w:r>
      <w:r>
        <w:t xml:space="preserve"> de Jasmine/Karma (</w:t>
      </w:r>
      <w:r>
        <w:rPr>
          <w:rFonts w:ascii="Consolas" w:hAnsi="Consolas"/>
          <w:sz w:val="16"/>
        </w:rPr>
        <w:t>server/server.test.js</w:t>
      </w:r>
      <w:r>
        <w:t xml:space="preserve">) que revisa la respuesta </w:t>
      </w:r>
      <w:r>
        <w:rPr>
          <w:rFonts w:ascii="Consolas" w:hAnsi="Consolas"/>
          <w:sz w:val="16"/>
        </w:rPr>
        <w:t>/api/data</w:t>
      </w:r>
      <w:r>
        <w:t xml:space="preserve"> del backend. No forma parte de las 28 pruebas de frontend.</w:t>
      </w:r>
    </w:p>
    <w:p>
      <w:pPr>
        <w:pStyle w:val="Heading1"/>
      </w:pPr>
      <w:r>
        <w:t>4. Mocks y DOM</w:t>
      </w:r>
    </w:p>
    <w:p>
      <w:r>
        <w:t xml:space="preserve">Ejemplos: </w:t>
      </w:r>
      <w:r>
        <w:rPr>
          <w:rFonts w:ascii="Consolas" w:hAnsi="Consolas"/>
          <w:sz w:val="16"/>
        </w:rPr>
        <w:t>jasmine.createSpy('onAdd')</w:t>
      </w:r>
      <w:r>
        <w:t xml:space="preserve">, </w:t>
      </w:r>
      <w:r>
        <w:rPr>
          <w:rFonts w:ascii="Consolas" w:hAnsi="Consolas"/>
          <w:sz w:val="16"/>
        </w:rPr>
        <w:t>createSpy('onComplete')</w:t>
      </w:r>
      <w:r>
        <w:t xml:space="preserve">, </w:t>
      </w:r>
      <w:r>
        <w:rPr>
          <w:rFonts w:ascii="Consolas" w:hAnsi="Consolas"/>
          <w:sz w:val="16"/>
        </w:rPr>
        <w:t>createSpy('onSaveProducts')</w:t>
      </w:r>
      <w:r>
        <w:t xml:space="preserve"> para simular funciones de estado/persistencia superiores sin realizar compras reales. </w:t>
      </w:r>
      <w:r>
        <w:rPr>
          <w:rFonts w:ascii="Consolas" w:hAnsi="Consolas"/>
          <w:sz w:val="16"/>
        </w:rPr>
        <w:t>render</w:t>
      </w:r>
      <w:r>
        <w:t xml:space="preserve"> monta componentes, </w:t>
      </w:r>
      <w:r>
        <w:rPr>
          <w:rFonts w:ascii="Consolas" w:hAnsi="Consolas"/>
          <w:sz w:val="16"/>
        </w:rPr>
        <w:t>fireEvent.click</w:t>
      </w:r>
      <w:r>
        <w:t xml:space="preserve"> y </w:t>
      </w:r>
      <w:r>
        <w:rPr>
          <w:rFonts w:ascii="Consolas" w:hAnsi="Consolas"/>
          <w:sz w:val="16"/>
        </w:rPr>
        <w:t>fireEvent.change</w:t>
      </w:r>
      <w:r>
        <w:t xml:space="preserve"> simulan eventos, </w:t>
      </w:r>
      <w:r>
        <w:rPr>
          <w:rFonts w:ascii="Consolas" w:hAnsi="Consolas"/>
          <w:sz w:val="16"/>
        </w:rPr>
        <w:t>screen.getByRole</w:t>
      </w:r>
      <w:r>
        <w:t xml:space="preserve"> y </w:t>
      </w:r>
      <w:r>
        <w:rPr>
          <w:rFonts w:ascii="Consolas" w:hAnsi="Consolas"/>
          <w:sz w:val="16"/>
        </w:rPr>
        <w:t>getByLabelText</w:t>
      </w:r>
      <w:r>
        <w:t xml:space="preserve"> buscan elementos reales del DOM. </w:t>
      </w:r>
      <w:r>
        <w:rPr>
          <w:rFonts w:ascii="Consolas" w:hAnsi="Consolas"/>
          <w:sz w:val="16"/>
        </w:rPr>
        <w:t>afterEach(cleanup)</w:t>
      </w:r>
      <w:r>
        <w:t xml:space="preserve"> aísla pruebas.</w:t>
      </w:r>
    </w:p>
    <w:p>
      <w:pPr>
        <w:pStyle w:val="Heading1"/>
      </w:pPr>
      <w:r>
        <w:t>5. Trazabilidad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01"/>
        <w:gridCol w:w="4901"/>
      </w:tblGrid>
      <w:tr>
        <w:tc>
          <w:tcPr>
            <w:tcW w:type="dxa" w:w="4901"/>
            <w:vAlign w:val="center"/>
          </w:tcPr>
          <w:p>
            <w:pPr>
              <w:spacing w:after="40"/>
            </w:pPr>
            <w:r>
              <w:rPr>
                <w:b/>
                <w:sz w:val="14"/>
              </w:rPr>
              <w:t>Requisitos ERS</w:t>
            </w:r>
          </w:p>
        </w:tc>
        <w:tc>
          <w:tcPr>
            <w:tcW w:type="dxa" w:w="4901"/>
            <w:vAlign w:val="center"/>
          </w:tcPr>
          <w:p>
            <w:pPr>
              <w:spacing w:after="40"/>
            </w:pPr>
            <w:r>
              <w:rPr>
                <w:b/>
                <w:sz w:val="14"/>
              </w:rPr>
              <w:t>Casos</w:t>
            </w:r>
          </w:p>
        </w:tc>
      </w:tr>
      <w:tr>
        <w:tc>
          <w:tcPr>
            <w:tcW w:type="dxa" w:w="4901"/>
            <w:vAlign w:val="center"/>
          </w:tcPr>
          <w:p>
            <w:pPr>
              <w:spacing w:after="40"/>
            </w:pPr>
            <w:r>
              <w:rPr>
                <w:sz w:val="14"/>
              </w:rPr>
              <w:t>RF01–RF03 (catálogo/detalle)</w:t>
            </w:r>
          </w:p>
        </w:tc>
        <w:tc>
          <w:tcPr>
            <w:tcW w:type="dxa" w:w="4901"/>
            <w:vAlign w:val="center"/>
          </w:tcPr>
          <w:p>
            <w:pPr>
              <w:spacing w:after="40"/>
            </w:pPr>
            <w:r>
              <w:rPr>
                <w:sz w:val="14"/>
              </w:rPr>
              <w:t>01–05, 21–22</w:t>
            </w:r>
          </w:p>
        </w:tc>
      </w:tr>
      <w:tr>
        <w:tc>
          <w:tcPr>
            <w:tcW w:type="dxa" w:w="4901"/>
            <w:vAlign w:val="center"/>
          </w:tcPr>
          <w:p>
            <w:pPr>
              <w:spacing w:after="40"/>
            </w:pPr>
            <w:r>
              <w:rPr>
                <w:sz w:val="14"/>
              </w:rPr>
              <w:t>RF04 (carrito)</w:t>
            </w:r>
          </w:p>
        </w:tc>
        <w:tc>
          <w:tcPr>
            <w:tcW w:type="dxa" w:w="4901"/>
            <w:vAlign w:val="center"/>
          </w:tcPr>
          <w:p>
            <w:pPr>
              <w:spacing w:after="40"/>
            </w:pPr>
            <w:r>
              <w:rPr>
                <w:sz w:val="14"/>
              </w:rPr>
              <w:t>02, 06–09, 12–14, 19</w:t>
            </w:r>
          </w:p>
        </w:tc>
      </w:tr>
      <w:tr>
        <w:tc>
          <w:tcPr>
            <w:tcW w:type="dxa" w:w="4901"/>
            <w:vAlign w:val="center"/>
          </w:tcPr>
          <w:p>
            <w:pPr>
              <w:spacing w:after="40"/>
            </w:pPr>
            <w:r>
              <w:rPr>
                <w:sz w:val="14"/>
              </w:rPr>
              <w:t>RF05–RF06 (categorías y ofertas)</w:t>
            </w:r>
          </w:p>
        </w:tc>
        <w:tc>
          <w:tcPr>
            <w:tcW w:type="dxa" w:w="4901"/>
            <w:vAlign w:val="center"/>
          </w:tcPr>
          <w:p>
            <w:pPr>
              <w:spacing w:after="40"/>
            </w:pPr>
            <w:r>
              <w:rPr>
                <w:sz w:val="14"/>
              </w:rPr>
              <w:t>04, 18, 19, 21, 22</w:t>
            </w:r>
          </w:p>
        </w:tc>
      </w:tr>
      <w:tr>
        <w:tc>
          <w:tcPr>
            <w:tcW w:type="dxa" w:w="4901"/>
            <w:vAlign w:val="center"/>
          </w:tcPr>
          <w:p>
            <w:pPr>
              <w:spacing w:after="40"/>
            </w:pPr>
            <w:r>
              <w:rPr>
                <w:sz w:val="14"/>
              </w:rPr>
              <w:t>RF07–RF09 (checkout y resultado)</w:t>
            </w:r>
          </w:p>
        </w:tc>
        <w:tc>
          <w:tcPr>
            <w:tcW w:type="dxa" w:w="4901"/>
            <w:vAlign w:val="center"/>
          </w:tcPr>
          <w:p>
            <w:pPr>
              <w:spacing w:after="40"/>
            </w:pPr>
            <w:r>
              <w:rPr>
                <w:sz w:val="14"/>
              </w:rPr>
              <w:t>20, 23–26</w:t>
            </w:r>
          </w:p>
        </w:tc>
      </w:tr>
      <w:tr>
        <w:tc>
          <w:tcPr>
            <w:tcW w:type="dxa" w:w="4901"/>
            <w:vAlign w:val="center"/>
          </w:tcPr>
          <w:p>
            <w:pPr>
              <w:spacing w:after="40"/>
            </w:pPr>
            <w:r>
              <w:rPr>
                <w:sz w:val="14"/>
              </w:rPr>
              <w:t>RF12 (contacto)</w:t>
            </w:r>
          </w:p>
        </w:tc>
        <w:tc>
          <w:tcPr>
            <w:tcW w:type="dxa" w:w="4901"/>
            <w:vAlign w:val="center"/>
          </w:tcPr>
          <w:p>
            <w:pPr>
              <w:spacing w:after="40"/>
            </w:pPr>
            <w:r>
              <w:rPr>
                <w:sz w:val="14"/>
              </w:rPr>
              <w:t>10–11</w:t>
            </w:r>
          </w:p>
        </w:tc>
      </w:tr>
      <w:tr>
        <w:tc>
          <w:tcPr>
            <w:tcW w:type="dxa" w:w="4901"/>
            <w:vAlign w:val="center"/>
          </w:tcPr>
          <w:p>
            <w:pPr>
              <w:spacing w:after="40"/>
            </w:pPr>
            <w:r>
              <w:rPr>
                <w:sz w:val="14"/>
              </w:rPr>
              <w:t>RF14–RF16 (administración, CRUD)</w:t>
            </w:r>
          </w:p>
        </w:tc>
        <w:tc>
          <w:tcPr>
            <w:tcW w:type="dxa" w:w="4901"/>
            <w:vAlign w:val="center"/>
          </w:tcPr>
          <w:p>
            <w:pPr>
              <w:spacing w:after="40"/>
            </w:pPr>
            <w:r>
              <w:rPr>
                <w:sz w:val="14"/>
              </w:rPr>
              <w:t>15–17, 27–28</w:t>
            </w:r>
          </w:p>
        </w:tc>
      </w:tr>
      <w:tr>
        <w:tc>
          <w:tcPr>
            <w:tcW w:type="dxa" w:w="4901"/>
            <w:vAlign w:val="center"/>
          </w:tcPr>
          <w:p>
            <w:pPr>
              <w:spacing w:after="40"/>
            </w:pPr>
            <w:r>
              <w:rPr>
                <w:sz w:val="14"/>
              </w:rPr>
              <w:t>RF20 (persistencia JS)</w:t>
            </w:r>
          </w:p>
        </w:tc>
        <w:tc>
          <w:tcPr>
            <w:tcW w:type="dxa" w:w="4901"/>
            <w:vAlign w:val="center"/>
          </w:tcPr>
          <w:p>
            <w:pPr>
              <w:spacing w:after="40"/>
            </w:pPr>
            <w:r>
              <w:rPr>
                <w:sz w:val="14"/>
              </w:rPr>
              <w:t>12–20</w:t>
            </w:r>
          </w:p>
        </w:tc>
      </w:tr>
      <w:tr>
        <w:tc>
          <w:tcPr>
            <w:tcW w:type="dxa" w:w="4901"/>
            <w:vAlign w:val="center"/>
          </w:tcPr>
          <w:p>
            <w:pPr>
              <w:spacing w:after="40"/>
            </w:pPr>
            <w:r>
              <w:rPr>
                <w:sz w:val="14"/>
              </w:rPr>
              <w:t>RF21 (servidor opcional)</w:t>
            </w:r>
          </w:p>
        </w:tc>
        <w:tc>
          <w:tcPr>
            <w:tcW w:type="dxa" w:w="4901"/>
            <w:vAlign w:val="center"/>
          </w:tcPr>
          <w:p>
            <w:pPr>
              <w:spacing w:after="40"/>
            </w:pPr>
            <w:r>
              <w:rPr>
                <w:sz w:val="14"/>
              </w:rPr>
              <w:t>prueba HTTP separada</w:t>
            </w:r>
          </w:p>
        </w:tc>
      </w:tr>
    </w:tbl>
    <w:p/>
    <w:p>
      <w:r>
        <w:rPr>
          <w:b/>
        </w:rPr>
        <w:t>Sin cobertura directa (demostrar manualmente):</w:t>
      </w:r>
      <w:r>
        <w:t xml:space="preserve"> autenticación de demo, historial del perfil, edición de categorías, eliminación condicional de categorías, pantalla de rechazo completa, actualización de estado de pedidos, reportes, artículos del blog, responsive y persistencia después de recarga. Los 28 tests </w:t>
      </w:r>
      <w:r>
        <w:rPr>
          <w:b/>
        </w:rPr>
        <w:t>no cubren automáticamente todas las líneas ni todos los flujos de integración</w:t>
      </w:r>
      <w:r>
        <w:t>.</w:t>
      </w:r>
    </w:p>
    <w:p>
      <w:pPr>
        <w:pStyle w:val="Heading1"/>
      </w:pPr>
      <w:r>
        <w:t>6. Resultados comprobados frente a pendientes</w:t>
      </w:r>
    </w:p>
    <w:p>
      <w:pPr>
        <w:pStyle w:val="ListBullet"/>
      </w:pPr>
      <w:r>
        <w:t>Comprobado en preparación: análisis sintáctico de archivos JS/JSX con parser TypeScript; prueba HTTP de backend 1/1 PASSED usando Node --test.</w:t>
      </w:r>
    </w:p>
    <w:p>
      <w:pPr>
        <w:pStyle w:val="ListBullet"/>
      </w:pPr>
      <w:r>
        <w:t>Pendiente en equipo con dependencias: npm install y ejecución Karma/Chrome de las 28 pruebas de frontend. No hay porcentaje de cobertura medido, porque la instalación npm agotó el tiempo de espera del entorno de preparación.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01"/>
        <w:gridCol w:w="4901"/>
      </w:tblGrid>
      <w:tr>
        <w:tc>
          <w:tcPr>
            <w:tcW w:type="dxa" w:w="4901"/>
            <w:vAlign w:val="center"/>
          </w:tcPr>
          <w:p>
            <w:pPr>
              <w:spacing w:after="40"/>
            </w:pPr>
            <w:r>
              <w:rPr>
                <w:b/>
                <w:sz w:val="14"/>
              </w:rPr>
              <w:t>Indicador</w:t>
            </w:r>
          </w:p>
        </w:tc>
        <w:tc>
          <w:tcPr>
            <w:tcW w:type="dxa" w:w="4901"/>
            <w:vAlign w:val="center"/>
          </w:tcPr>
          <w:p>
            <w:pPr>
              <w:spacing w:after="40"/>
            </w:pPr>
            <w:r>
              <w:rPr>
                <w:b/>
                <w:sz w:val="14"/>
              </w:rPr>
              <w:t>Resultado actual</w:t>
            </w:r>
          </w:p>
        </w:tc>
      </w:tr>
      <w:tr>
        <w:tc>
          <w:tcPr>
            <w:tcW w:type="dxa" w:w="4901"/>
            <w:vAlign w:val="center"/>
          </w:tcPr>
          <w:p>
            <w:pPr>
              <w:spacing w:after="40"/>
            </w:pPr>
            <w:r>
              <w:rPr>
                <w:sz w:val="14"/>
              </w:rPr>
              <w:t>Casos Jasmine/Karma redactados</w:t>
            </w:r>
          </w:p>
        </w:tc>
        <w:tc>
          <w:tcPr>
            <w:tcW w:type="dxa" w:w="4901"/>
            <w:vAlign w:val="center"/>
          </w:tcPr>
          <w:p>
            <w:pPr>
              <w:spacing w:after="40"/>
            </w:pPr>
            <w:r>
              <w:rPr>
                <w:sz w:val="14"/>
              </w:rPr>
              <w:t>28</w:t>
            </w:r>
          </w:p>
        </w:tc>
      </w:tr>
      <w:tr>
        <w:tc>
          <w:tcPr>
            <w:tcW w:type="dxa" w:w="4901"/>
            <w:vAlign w:val="center"/>
          </w:tcPr>
          <w:p>
            <w:pPr>
              <w:spacing w:after="40"/>
            </w:pPr>
            <w:r>
              <w:rPr>
                <w:sz w:val="14"/>
              </w:rPr>
              <w:t>Casos Karma ejecutados</w:t>
            </w:r>
          </w:p>
        </w:tc>
        <w:tc>
          <w:tcPr>
            <w:tcW w:type="dxa" w:w="4901"/>
            <w:vAlign w:val="center"/>
          </w:tcPr>
          <w:p>
            <w:pPr>
              <w:spacing w:after="40"/>
            </w:pPr>
            <w:r>
              <w:rPr>
                <w:sz w:val="14"/>
              </w:rPr>
              <w:t>Pendiente</w:t>
            </w:r>
          </w:p>
        </w:tc>
      </w:tr>
      <w:tr>
        <w:tc>
          <w:tcPr>
            <w:tcW w:type="dxa" w:w="4901"/>
            <w:vAlign w:val="center"/>
          </w:tcPr>
          <w:p>
            <w:pPr>
              <w:spacing w:after="40"/>
            </w:pPr>
            <w:r>
              <w:rPr>
                <w:sz w:val="14"/>
              </w:rPr>
              <w:t>Casos Karma aprobados/fallidos</w:t>
            </w:r>
          </w:p>
        </w:tc>
        <w:tc>
          <w:tcPr>
            <w:tcW w:type="dxa" w:w="4901"/>
            <w:vAlign w:val="center"/>
          </w:tcPr>
          <w:p>
            <w:pPr>
              <w:spacing w:after="40"/>
            </w:pPr>
            <w:r>
              <w:rPr>
                <w:sz w:val="14"/>
              </w:rPr>
              <w:t>Pendiente</w:t>
            </w:r>
          </w:p>
        </w:tc>
      </w:tr>
      <w:tr>
        <w:tc>
          <w:tcPr>
            <w:tcW w:type="dxa" w:w="4901"/>
            <w:vAlign w:val="center"/>
          </w:tcPr>
          <w:p>
            <w:pPr>
              <w:spacing w:after="40"/>
            </w:pPr>
            <w:r>
              <w:rPr>
                <w:sz w:val="14"/>
              </w:rPr>
              <w:t>Cobertura Statements</w:t>
            </w:r>
          </w:p>
        </w:tc>
        <w:tc>
          <w:tcPr>
            <w:tcW w:type="dxa" w:w="4901"/>
            <w:vAlign w:val="center"/>
          </w:tcPr>
          <w:p>
            <w:pPr>
              <w:spacing w:after="40"/>
            </w:pPr>
            <w:r>
              <w:rPr>
                <w:sz w:val="14"/>
              </w:rPr>
              <w:t>Pendiente</w:t>
            </w:r>
          </w:p>
        </w:tc>
      </w:tr>
      <w:tr>
        <w:tc>
          <w:tcPr>
            <w:tcW w:type="dxa" w:w="4901"/>
            <w:vAlign w:val="center"/>
          </w:tcPr>
          <w:p>
            <w:pPr>
              <w:spacing w:after="40"/>
            </w:pPr>
            <w:r>
              <w:rPr>
                <w:sz w:val="14"/>
              </w:rPr>
              <w:t>Cobertura Branches</w:t>
            </w:r>
          </w:p>
        </w:tc>
        <w:tc>
          <w:tcPr>
            <w:tcW w:type="dxa" w:w="4901"/>
            <w:vAlign w:val="center"/>
          </w:tcPr>
          <w:p>
            <w:pPr>
              <w:spacing w:after="40"/>
            </w:pPr>
            <w:r>
              <w:rPr>
                <w:sz w:val="14"/>
              </w:rPr>
              <w:t>Pendiente</w:t>
            </w:r>
          </w:p>
        </w:tc>
      </w:tr>
      <w:tr>
        <w:tc>
          <w:tcPr>
            <w:tcW w:type="dxa" w:w="4901"/>
            <w:vAlign w:val="center"/>
          </w:tcPr>
          <w:p>
            <w:pPr>
              <w:spacing w:after="40"/>
            </w:pPr>
            <w:r>
              <w:rPr>
                <w:sz w:val="14"/>
              </w:rPr>
              <w:t>Cobertura Functions</w:t>
            </w:r>
          </w:p>
        </w:tc>
        <w:tc>
          <w:tcPr>
            <w:tcW w:type="dxa" w:w="4901"/>
            <w:vAlign w:val="center"/>
          </w:tcPr>
          <w:p>
            <w:pPr>
              <w:spacing w:after="40"/>
            </w:pPr>
            <w:r>
              <w:rPr>
                <w:sz w:val="14"/>
              </w:rPr>
              <w:t>Pendiente</w:t>
            </w:r>
          </w:p>
        </w:tc>
      </w:tr>
      <w:tr>
        <w:tc>
          <w:tcPr>
            <w:tcW w:type="dxa" w:w="4901"/>
            <w:vAlign w:val="center"/>
          </w:tcPr>
          <w:p>
            <w:pPr>
              <w:spacing w:after="40"/>
            </w:pPr>
            <w:r>
              <w:rPr>
                <w:sz w:val="14"/>
              </w:rPr>
              <w:t>Cobertura Lines</w:t>
            </w:r>
          </w:p>
        </w:tc>
        <w:tc>
          <w:tcPr>
            <w:tcW w:type="dxa" w:w="4901"/>
            <w:vAlign w:val="center"/>
          </w:tcPr>
          <w:p>
            <w:pPr>
              <w:spacing w:after="40"/>
            </w:pPr>
            <w:r>
              <w:rPr>
                <w:sz w:val="14"/>
              </w:rPr>
              <w:t>Pendiente</w:t>
            </w:r>
          </w:p>
        </w:tc>
      </w:tr>
      <w:tr>
        <w:tc>
          <w:tcPr>
            <w:tcW w:type="dxa" w:w="4901"/>
            <w:vAlign w:val="center"/>
          </w:tcPr>
          <w:p>
            <w:pPr>
              <w:spacing w:after="40"/>
            </w:pPr>
            <w:r>
              <w:rPr>
                <w:sz w:val="14"/>
              </w:rPr>
              <w:t>Prueba HTTP Node</w:t>
            </w:r>
          </w:p>
        </w:tc>
        <w:tc>
          <w:tcPr>
            <w:tcW w:type="dxa" w:w="4901"/>
            <w:vAlign w:val="center"/>
          </w:tcPr>
          <w:p>
            <w:pPr>
              <w:spacing w:after="40"/>
            </w:pPr>
            <w:r>
              <w:rPr>
                <w:sz w:val="14"/>
              </w:rPr>
              <w:t>1/1 aprobada</w:t>
            </w:r>
          </w:p>
        </w:tc>
      </w:tr>
    </w:tbl>
    <w:p/>
    <w:p>
      <w:pPr>
        <w:pStyle w:val="Heading1"/>
      </w:pPr>
      <w:r>
        <w:t>7. Proceso de testeo y análisis posterior</w:t>
      </w:r>
    </w:p>
    <w:p>
      <w:pPr>
        <w:pStyle w:val="ListNumber"/>
      </w:pPr>
      <w:r>
        <w:t>npm install y npm test en equipo con Chrome/Chromium instalado.</w:t>
      </w:r>
    </w:p>
    <w:p>
      <w:pPr>
        <w:pStyle w:val="ListNumber"/>
      </w:pPr>
      <w:r>
        <w:t>Si Karma no encuentra Chrome en Windows, tener Google Chrome instalado; en Linux definir CHROME_BIN.</w:t>
      </w:r>
    </w:p>
    <w:p>
      <w:pPr>
        <w:pStyle w:val="ListNumber"/>
      </w:pPr>
      <w:r>
        <w:t>Capturar consola con cantidad de tests y casos fallidos.</w:t>
      </w:r>
    </w:p>
    <w:p>
      <w:pPr>
        <w:pStyle w:val="ListNumber"/>
      </w:pPr>
      <w:r>
        <w:t>Abrir coverage/html/index.html, copiar cuatro porcentajes a la tabla de resultados.</w:t>
      </w:r>
    </w:p>
    <w:p>
      <w:pPr>
        <w:pStyle w:val="ListNumber"/>
      </w:pPr>
      <w:r>
        <w:t>Revisar archivos/ramas no cubiertos y agregar casos relevantes, priorizando checkout y órdenes.</w:t>
      </w:r>
    </w:p>
    <w:p>
      <w:pPr>
        <w:pStyle w:val="ListNumber"/>
      </w:pPr>
      <w:r>
        <w:t>Si una prueba falla, anotar fallo, corrección y segunda ejecución; no afirmar éxito sin evidencia.</w:t>
      </w:r>
    </w:p>
    <w:p>
      <w:pPr>
        <w:pStyle w:val="ListNumber"/>
      </w:pPr>
      <w:r>
        <w:t>Registrar fecha, navegador y versión Node del equipo usado.</w:t>
      </w:r>
    </w:p>
    <w:p>
      <w:pPr>
        <w:pStyle w:val="Heading1"/>
      </w:pPr>
      <w:r>
        <w:t>8. Evidencia exigida para defensa</w:t>
      </w:r>
    </w:p>
    <w:p>
      <w:r>
        <w:t xml:space="preserve">Mostrar: filtros en React; datos y props de </w:t>
      </w:r>
      <w:r>
        <w:rPr>
          <w:rFonts w:ascii="Consolas" w:hAnsi="Consolas"/>
          <w:sz w:val="16"/>
        </w:rPr>
        <w:t>ProductCard</w:t>
      </w:r>
      <w:r>
        <w:t xml:space="preserve">; estado del checkout; mocks de Jasmine; prueba de evento botón; resultados reales de Karma; pantallas de compra exitosa y rechazada; CRUD; reporte de cobertura; vista móvil/escritorio; ejemplo de comunicación frontend/backend mediante </w:t>
      </w:r>
      <w:r>
        <w:rPr>
          <w:rFonts w:ascii="Consolas" w:hAnsi="Consolas"/>
          <w:sz w:val="16"/>
        </w:rPr>
        <w:t>/api/data</w:t>
      </w:r>
      <w:r>
        <w:t>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19" w:bottom="1020" w:left="121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center"/>
    </w:pPr>
    <w:r>
      <w:t>HuertoHogar · Documento académico · 21.10.2026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HUERTOHOGAR   /   DESARROLLO FULLSTACK II   /   EP2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8352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C593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C593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80"/>
      <w:contextualSpacing/>
    </w:pPr>
    <w:rPr>
      <w:rFonts w:asciiTheme="majorHAnsi" w:eastAsiaTheme="majorEastAsia" w:hAnsiTheme="majorHAnsi" w:cstheme="majorBidi" w:ascii="Aptos Display" w:hAnsi="Aptos Display"/>
      <w:b/>
      <w:color w:val="1C5936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