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5A" w:rsidRPr="00CE023D" w:rsidRDefault="00B974D0" w:rsidP="00BE275A">
      <w:pPr>
        <w:rPr>
          <w:rFonts w:ascii="Arial" w:hAnsi="Arial" w:cs="Arial"/>
          <w:sz w:val="28"/>
        </w:rPr>
      </w:pPr>
      <w:r w:rsidRPr="00A13326">
        <w:rPr>
          <w:rFonts w:ascii="Arial" w:hAnsi="Arial" w:cs="Arial"/>
          <w:sz w:val="28"/>
          <w:highlight w:val="yellow"/>
        </w:rPr>
        <w:t>&lt;CIUDAD&gt;</w:t>
      </w:r>
      <w:r w:rsidR="00BE275A" w:rsidRPr="00A13326">
        <w:rPr>
          <w:rFonts w:ascii="Arial" w:hAnsi="Arial" w:cs="Arial"/>
          <w:sz w:val="28"/>
          <w:highlight w:val="yellow"/>
        </w:rPr>
        <w:t xml:space="preserve">, </w:t>
      </w:r>
      <w:r w:rsidRPr="00A13326">
        <w:rPr>
          <w:rFonts w:ascii="Arial" w:hAnsi="Arial" w:cs="Arial"/>
          <w:sz w:val="28"/>
          <w:highlight w:val="yellow"/>
        </w:rPr>
        <w:t>&lt;FECHA CORRESPONDENCIA&gt;</w:t>
      </w:r>
    </w:p>
    <w:p w:rsidR="00D11776" w:rsidRDefault="00D11776" w:rsidP="00D11776">
      <w:pPr>
        <w:rPr>
          <w:rFonts w:ascii="Arial" w:hAnsi="Arial" w:cs="Arial"/>
          <w:sz w:val="28"/>
        </w:rPr>
      </w:pPr>
    </w:p>
    <w:p w:rsidR="00D11776" w:rsidRPr="00CE023D" w:rsidRDefault="00D11776" w:rsidP="00D11776">
      <w:pPr>
        <w:rPr>
          <w:rFonts w:ascii="Arial" w:hAnsi="Arial" w:cs="Arial"/>
          <w:sz w:val="28"/>
        </w:rPr>
      </w:pPr>
    </w:p>
    <w:p w:rsidR="00BE275A" w:rsidRPr="00CE023D" w:rsidRDefault="00D52F3D" w:rsidP="00BE275A">
      <w:pPr>
        <w:spacing w:after="0"/>
        <w:rPr>
          <w:rFonts w:ascii="Arial" w:hAnsi="Arial" w:cs="Arial"/>
          <w:sz w:val="28"/>
        </w:rPr>
      </w:pPr>
      <w:r w:rsidRPr="00CE023D">
        <w:rPr>
          <w:rFonts w:ascii="Arial" w:hAnsi="Arial" w:cs="Arial"/>
          <w:sz w:val="28"/>
        </w:rPr>
        <w:t>Señor</w:t>
      </w:r>
      <w:r w:rsidR="00B974D0" w:rsidRPr="00CE023D">
        <w:rPr>
          <w:rFonts w:ascii="Arial" w:hAnsi="Arial" w:cs="Arial"/>
          <w:sz w:val="28"/>
        </w:rPr>
        <w:t>(</w:t>
      </w:r>
      <w:r w:rsidRPr="00CE023D">
        <w:rPr>
          <w:rFonts w:ascii="Arial" w:hAnsi="Arial" w:cs="Arial"/>
          <w:sz w:val="28"/>
        </w:rPr>
        <w:t>a</w:t>
      </w:r>
      <w:r w:rsidR="00B974D0" w:rsidRPr="00CE023D">
        <w:rPr>
          <w:rFonts w:ascii="Arial" w:hAnsi="Arial" w:cs="Arial"/>
          <w:sz w:val="28"/>
        </w:rPr>
        <w:t>)</w:t>
      </w:r>
    </w:p>
    <w:p w:rsidR="00664E77" w:rsidRDefault="00B974D0" w:rsidP="00664E77">
      <w:pPr>
        <w:spacing w:after="0"/>
        <w:rPr>
          <w:rFonts w:ascii="Arial" w:hAnsi="Arial" w:cs="Arial"/>
          <w:sz w:val="28"/>
        </w:rPr>
      </w:pPr>
      <w:r w:rsidRPr="00A13326">
        <w:rPr>
          <w:rFonts w:ascii="Arial" w:hAnsi="Arial" w:cs="Arial"/>
          <w:sz w:val="28"/>
          <w:highlight w:val="yellow"/>
        </w:rPr>
        <w:t>&lt;NOMBRE DEL PROPIETARIO&gt;</w:t>
      </w:r>
    </w:p>
    <w:p w:rsidR="00F94B66" w:rsidRPr="00CE023D" w:rsidRDefault="00F94B66" w:rsidP="00664E77">
      <w:pPr>
        <w:spacing w:after="0"/>
        <w:rPr>
          <w:rFonts w:ascii="Arial" w:hAnsi="Arial" w:cs="Arial"/>
          <w:sz w:val="28"/>
        </w:rPr>
      </w:pPr>
      <w:r>
        <w:rPr>
          <w:rFonts w:ascii="Arial" w:hAnsi="Arial" w:cs="Arial"/>
          <w:sz w:val="24"/>
        </w:rPr>
        <w:t>SOLICITANTE/CONTRATANTE</w:t>
      </w:r>
    </w:p>
    <w:p w:rsidR="00D11776" w:rsidRDefault="00D11776" w:rsidP="0066698E">
      <w:pPr>
        <w:spacing w:before="320"/>
        <w:jc w:val="both"/>
        <w:rPr>
          <w:rFonts w:ascii="Arial" w:hAnsi="Arial" w:cs="Arial"/>
          <w:sz w:val="24"/>
        </w:rPr>
      </w:pPr>
    </w:p>
    <w:p w:rsidR="00105EF3" w:rsidRPr="00CE023D" w:rsidRDefault="00DA5743" w:rsidP="0066698E">
      <w:pPr>
        <w:spacing w:before="320"/>
        <w:jc w:val="both"/>
        <w:rPr>
          <w:rFonts w:ascii="Arial" w:hAnsi="Arial" w:cs="Arial"/>
          <w:sz w:val="24"/>
        </w:rPr>
      </w:pPr>
      <w:r w:rsidRPr="00CE023D">
        <w:rPr>
          <w:rFonts w:ascii="Arial" w:hAnsi="Arial" w:cs="Arial"/>
          <w:sz w:val="24"/>
        </w:rPr>
        <w:t>De acuerdo la solicitud de</w:t>
      </w:r>
      <w:r w:rsidR="00BE275A" w:rsidRPr="00CE023D">
        <w:rPr>
          <w:rFonts w:ascii="Arial" w:hAnsi="Arial" w:cs="Arial"/>
          <w:sz w:val="24"/>
        </w:rPr>
        <w:t xml:space="preserve"> </w:t>
      </w:r>
      <w:r w:rsidR="002A2686" w:rsidRPr="00CE023D">
        <w:rPr>
          <w:rFonts w:ascii="Arial" w:hAnsi="Arial" w:cs="Arial"/>
          <w:sz w:val="24"/>
        </w:rPr>
        <w:t>Interés</w:t>
      </w:r>
      <w:r w:rsidR="00BE275A" w:rsidRPr="00CE023D">
        <w:rPr>
          <w:rFonts w:ascii="Arial" w:hAnsi="Arial" w:cs="Arial"/>
          <w:sz w:val="24"/>
        </w:rPr>
        <w:t xml:space="preserve"> se precisa cotiz</w:t>
      </w:r>
      <w:r w:rsidR="00766DC3">
        <w:rPr>
          <w:rFonts w:ascii="Arial" w:hAnsi="Arial" w:cs="Arial"/>
          <w:sz w:val="24"/>
        </w:rPr>
        <w:t>ar el servicio Avalúo Comercial</w:t>
      </w:r>
      <w:r w:rsidR="00B91BCD" w:rsidRPr="00CE023D">
        <w:rPr>
          <w:rFonts w:ascii="Arial" w:hAnsi="Arial" w:cs="Arial"/>
          <w:sz w:val="24"/>
        </w:rPr>
        <w:t>,</w:t>
      </w:r>
      <w:r w:rsidR="00F17883" w:rsidRPr="00CE023D">
        <w:rPr>
          <w:rFonts w:ascii="Arial" w:hAnsi="Arial" w:cs="Arial"/>
          <w:sz w:val="24"/>
        </w:rPr>
        <w:t xml:space="preserve"> </w:t>
      </w:r>
      <w:r w:rsidR="00886A07" w:rsidRPr="00CE023D">
        <w:rPr>
          <w:rFonts w:ascii="Arial" w:hAnsi="Arial" w:cs="Arial"/>
          <w:sz w:val="24"/>
        </w:rPr>
        <w:t xml:space="preserve">avalado por </w:t>
      </w:r>
      <w:r w:rsidR="00766DC3">
        <w:rPr>
          <w:rFonts w:ascii="Arial" w:hAnsi="Arial" w:cs="Arial"/>
          <w:sz w:val="24"/>
        </w:rPr>
        <w:t xml:space="preserve">la competencia que otorga </w:t>
      </w:r>
      <w:r w:rsidR="00886A07" w:rsidRPr="00CE023D">
        <w:rPr>
          <w:rFonts w:ascii="Arial" w:hAnsi="Arial" w:cs="Arial"/>
          <w:sz w:val="24"/>
        </w:rPr>
        <w:t>e</w:t>
      </w:r>
      <w:r w:rsidR="00B91BCD" w:rsidRPr="00CE023D">
        <w:rPr>
          <w:rFonts w:ascii="Arial" w:hAnsi="Arial" w:cs="Arial"/>
          <w:sz w:val="24"/>
        </w:rPr>
        <w:t>l Registro Abierto de Avaluadores- RAA-</w:t>
      </w:r>
      <w:r w:rsidR="00886A07" w:rsidRPr="00CE023D">
        <w:rPr>
          <w:rFonts w:ascii="Arial" w:hAnsi="Arial" w:cs="Arial"/>
          <w:sz w:val="24"/>
        </w:rPr>
        <w:t xml:space="preserve">de </w:t>
      </w:r>
      <w:r w:rsidR="00B974D0" w:rsidRPr="00CE023D">
        <w:rPr>
          <w:rFonts w:ascii="Arial" w:hAnsi="Arial" w:cs="Arial"/>
          <w:sz w:val="24"/>
        </w:rPr>
        <w:t>cada miembro de</w:t>
      </w:r>
      <w:r w:rsidR="003734D8" w:rsidRPr="00CE023D">
        <w:rPr>
          <w:rFonts w:ascii="Arial" w:hAnsi="Arial" w:cs="Arial"/>
          <w:sz w:val="24"/>
        </w:rPr>
        <w:t xml:space="preserve"> </w:t>
      </w:r>
      <w:r w:rsidR="00766DC3">
        <w:rPr>
          <w:rFonts w:ascii="Arial" w:hAnsi="Arial" w:cs="Arial"/>
          <w:sz w:val="24"/>
        </w:rPr>
        <w:t xml:space="preserve">la </w:t>
      </w:r>
      <w:r w:rsidR="003734D8" w:rsidRPr="00CE023D">
        <w:rPr>
          <w:rFonts w:ascii="Arial" w:hAnsi="Arial" w:cs="Arial"/>
          <w:sz w:val="24"/>
        </w:rPr>
        <w:t>comisión valuatoria</w:t>
      </w:r>
      <w:r w:rsidR="00886A07" w:rsidRPr="00CE023D">
        <w:rPr>
          <w:rFonts w:ascii="Arial" w:hAnsi="Arial" w:cs="Arial"/>
          <w:sz w:val="24"/>
        </w:rPr>
        <w:t>,</w:t>
      </w:r>
      <w:r w:rsidR="004153A0" w:rsidRPr="00CE023D">
        <w:rPr>
          <w:rFonts w:ascii="Arial" w:hAnsi="Arial" w:cs="Arial"/>
          <w:sz w:val="24"/>
        </w:rPr>
        <w:t xml:space="preserve"> </w:t>
      </w:r>
      <w:r w:rsidR="00766DC3">
        <w:rPr>
          <w:rFonts w:ascii="Arial" w:hAnsi="Arial" w:cs="Arial"/>
          <w:sz w:val="24"/>
        </w:rPr>
        <w:t xml:space="preserve">sujeto a </w:t>
      </w:r>
      <w:r w:rsidR="002E3070" w:rsidRPr="00CE023D">
        <w:rPr>
          <w:rFonts w:ascii="Arial" w:hAnsi="Arial" w:cs="Arial"/>
          <w:sz w:val="24"/>
        </w:rPr>
        <w:t xml:space="preserve">las normas </w:t>
      </w:r>
      <w:r w:rsidR="00766DC3">
        <w:rPr>
          <w:rFonts w:ascii="Arial" w:hAnsi="Arial" w:cs="Arial"/>
          <w:sz w:val="24"/>
        </w:rPr>
        <w:t xml:space="preserve">metodológicas </w:t>
      </w:r>
      <w:r w:rsidR="002E3070" w:rsidRPr="00CE023D">
        <w:rPr>
          <w:rFonts w:ascii="Arial" w:hAnsi="Arial" w:cs="Arial"/>
          <w:sz w:val="24"/>
        </w:rPr>
        <w:t>vigentes</w:t>
      </w:r>
      <w:r w:rsidR="00954148" w:rsidRPr="00CE023D">
        <w:rPr>
          <w:rFonts w:ascii="Arial" w:hAnsi="Arial" w:cs="Arial"/>
          <w:sz w:val="24"/>
        </w:rPr>
        <w:t xml:space="preserve"> </w:t>
      </w:r>
      <w:r w:rsidR="00F17883" w:rsidRPr="00CE023D">
        <w:rPr>
          <w:rFonts w:ascii="Arial" w:hAnsi="Arial" w:cs="Arial"/>
          <w:sz w:val="24"/>
        </w:rPr>
        <w:t xml:space="preserve">en Colombia </w:t>
      </w:r>
      <w:r w:rsidR="00766DC3">
        <w:rPr>
          <w:rFonts w:ascii="Arial" w:hAnsi="Arial" w:cs="Arial"/>
          <w:sz w:val="24"/>
        </w:rPr>
        <w:t xml:space="preserve">sujeto </w:t>
      </w:r>
      <w:r w:rsidR="00B974D0" w:rsidRPr="00CE023D">
        <w:rPr>
          <w:rFonts w:ascii="Arial" w:hAnsi="Arial" w:cs="Arial"/>
          <w:sz w:val="24"/>
        </w:rPr>
        <w:t xml:space="preserve">normas urbanísticas </w:t>
      </w:r>
      <w:r w:rsidR="002E3070" w:rsidRPr="00CE023D">
        <w:rPr>
          <w:rFonts w:ascii="Arial" w:hAnsi="Arial" w:cs="Arial"/>
          <w:sz w:val="24"/>
        </w:rPr>
        <w:t xml:space="preserve">en </w:t>
      </w:r>
      <w:r w:rsidR="008B0702" w:rsidRPr="00CE023D">
        <w:rPr>
          <w:rFonts w:ascii="Arial" w:hAnsi="Arial" w:cs="Arial"/>
          <w:sz w:val="24"/>
        </w:rPr>
        <w:t>el</w:t>
      </w:r>
      <w:r w:rsidR="00F17883" w:rsidRPr="00CE023D">
        <w:rPr>
          <w:rFonts w:ascii="Arial" w:hAnsi="Arial" w:cs="Arial"/>
          <w:sz w:val="24"/>
        </w:rPr>
        <w:t xml:space="preserve"> municipio en donde se en</w:t>
      </w:r>
      <w:r w:rsidR="00105EF3" w:rsidRPr="00CE023D">
        <w:rPr>
          <w:rFonts w:ascii="Arial" w:hAnsi="Arial" w:cs="Arial"/>
          <w:sz w:val="24"/>
        </w:rPr>
        <w:t>cuent</w:t>
      </w:r>
      <w:r w:rsidR="00F17883" w:rsidRPr="00CE023D">
        <w:rPr>
          <w:rFonts w:ascii="Arial" w:hAnsi="Arial" w:cs="Arial"/>
          <w:sz w:val="24"/>
        </w:rPr>
        <w:t>r</w:t>
      </w:r>
      <w:r w:rsidR="00105EF3" w:rsidRPr="00CE023D">
        <w:rPr>
          <w:rFonts w:ascii="Arial" w:hAnsi="Arial" w:cs="Arial"/>
          <w:sz w:val="24"/>
        </w:rPr>
        <w:t>a</w:t>
      </w:r>
      <w:r w:rsidR="00B91BCD" w:rsidRPr="00CE023D">
        <w:rPr>
          <w:rFonts w:ascii="Arial" w:hAnsi="Arial" w:cs="Arial"/>
          <w:sz w:val="24"/>
        </w:rPr>
        <w:t xml:space="preserve">n los </w:t>
      </w:r>
      <w:r w:rsidR="004153A0" w:rsidRPr="00CE023D">
        <w:rPr>
          <w:rFonts w:ascii="Arial" w:hAnsi="Arial" w:cs="Arial"/>
          <w:sz w:val="24"/>
        </w:rPr>
        <w:t>bienes inmuebles</w:t>
      </w:r>
      <w:r w:rsidR="00B91BCD" w:rsidRPr="00CE023D">
        <w:rPr>
          <w:rFonts w:ascii="Arial" w:hAnsi="Arial" w:cs="Arial"/>
          <w:sz w:val="24"/>
        </w:rPr>
        <w:t xml:space="preserve"> relacionados</w:t>
      </w:r>
      <w:r w:rsidR="00B974D0" w:rsidRPr="00CE023D">
        <w:rPr>
          <w:rFonts w:ascii="Arial" w:hAnsi="Arial" w:cs="Arial"/>
          <w:sz w:val="24"/>
        </w:rPr>
        <w:t>.</w:t>
      </w:r>
      <w:r w:rsidR="00F17883" w:rsidRPr="00CE023D">
        <w:rPr>
          <w:rFonts w:ascii="Arial" w:hAnsi="Arial" w:cs="Arial"/>
          <w:sz w:val="24"/>
        </w:rPr>
        <w:t xml:space="preserve"> </w:t>
      </w:r>
    </w:p>
    <w:p w:rsidR="00DA5743" w:rsidRPr="00CE023D" w:rsidRDefault="00B974D0" w:rsidP="0066698E">
      <w:pPr>
        <w:spacing w:before="320"/>
        <w:jc w:val="both"/>
        <w:rPr>
          <w:rFonts w:ascii="Arial" w:hAnsi="Arial" w:cs="Arial"/>
          <w:sz w:val="24"/>
        </w:rPr>
      </w:pPr>
      <w:r w:rsidRPr="00CE023D">
        <w:rPr>
          <w:rFonts w:ascii="Arial" w:hAnsi="Arial" w:cs="Arial"/>
          <w:sz w:val="24"/>
        </w:rPr>
        <w:t xml:space="preserve">El motivo tácito del Avalúo es </w:t>
      </w:r>
      <w:r w:rsidR="00664E77" w:rsidRPr="00CE023D">
        <w:rPr>
          <w:rFonts w:ascii="Arial" w:hAnsi="Arial" w:cs="Arial"/>
          <w:sz w:val="24"/>
        </w:rPr>
        <w:t xml:space="preserve"> </w:t>
      </w:r>
      <w:r w:rsidRPr="00A13326">
        <w:rPr>
          <w:rFonts w:ascii="Arial" w:hAnsi="Arial" w:cs="Arial"/>
          <w:sz w:val="24"/>
          <w:highlight w:val="yellow"/>
        </w:rPr>
        <w:t>&lt;MOTIVO DEL AVALUO&gt;</w:t>
      </w:r>
      <w:r w:rsidR="00B91BCD" w:rsidRPr="00A13326">
        <w:rPr>
          <w:rFonts w:ascii="Arial" w:hAnsi="Arial" w:cs="Arial"/>
          <w:sz w:val="24"/>
          <w:highlight w:val="yellow"/>
        </w:rPr>
        <w:t>.</w:t>
      </w:r>
    </w:p>
    <w:p w:rsidR="00F94B66" w:rsidRPr="00253496" w:rsidRDefault="00F94B66" w:rsidP="00BE275A">
      <w:pPr>
        <w:spacing w:before="320"/>
        <w:rPr>
          <w:rFonts w:ascii="Arial" w:hAnsi="Arial" w:cs="Arial"/>
          <w:b/>
          <w:sz w:val="28"/>
          <w:highlight w:val="cyan"/>
        </w:rPr>
      </w:pPr>
      <w:r w:rsidRPr="00253496">
        <w:rPr>
          <w:rFonts w:ascii="Arial" w:hAnsi="Arial" w:cs="Arial"/>
          <w:b/>
          <w:sz w:val="28"/>
          <w:highlight w:val="cyan"/>
        </w:rPr>
        <w:t>CONTRATO/ORDEN DE COMPRA:</w:t>
      </w:r>
    </w:p>
    <w:p w:rsidR="00F94B66" w:rsidRPr="00F94B66" w:rsidRDefault="00F94B66" w:rsidP="00BE275A">
      <w:pPr>
        <w:spacing w:before="320"/>
        <w:rPr>
          <w:rFonts w:ascii="Arial" w:hAnsi="Arial" w:cs="Arial"/>
          <w:sz w:val="24"/>
        </w:rPr>
      </w:pPr>
      <w:r w:rsidRPr="00253496">
        <w:rPr>
          <w:rFonts w:ascii="Arial" w:hAnsi="Arial" w:cs="Arial"/>
          <w:sz w:val="24"/>
          <w:highlight w:val="cyan"/>
        </w:rPr>
        <w:t xml:space="preserve">Para efecto de referencia y comunicación con el SOLICITANTE/CONTRATANTE, esta </w:t>
      </w:r>
      <w:r w:rsidR="00D11776" w:rsidRPr="00253496">
        <w:rPr>
          <w:rFonts w:ascii="Arial" w:hAnsi="Arial" w:cs="Arial"/>
          <w:sz w:val="24"/>
          <w:highlight w:val="cyan"/>
        </w:rPr>
        <w:t>cotización</w:t>
      </w:r>
      <w:r w:rsidRPr="00253496">
        <w:rPr>
          <w:rFonts w:ascii="Arial" w:hAnsi="Arial" w:cs="Arial"/>
          <w:sz w:val="24"/>
          <w:highlight w:val="cyan"/>
        </w:rPr>
        <w:t xml:space="preserve"> se relaciona directamente con el contrato u orden de compra No:</w:t>
      </w:r>
      <w:r>
        <w:rPr>
          <w:rFonts w:ascii="Arial" w:hAnsi="Arial" w:cs="Arial"/>
          <w:sz w:val="24"/>
        </w:rPr>
        <w:t xml:space="preserve"> </w:t>
      </w:r>
      <w:r w:rsidRPr="00F94B66">
        <w:rPr>
          <w:rFonts w:ascii="Arial" w:hAnsi="Arial" w:cs="Arial"/>
          <w:sz w:val="24"/>
          <w:highlight w:val="yellow"/>
        </w:rPr>
        <w:t>NA</w:t>
      </w:r>
    </w:p>
    <w:p w:rsidR="00BE275A" w:rsidRPr="00CE023D" w:rsidRDefault="00BE275A" w:rsidP="00BE275A">
      <w:pPr>
        <w:spacing w:before="320"/>
        <w:rPr>
          <w:rFonts w:ascii="Arial" w:hAnsi="Arial" w:cs="Arial"/>
          <w:b/>
          <w:sz w:val="28"/>
        </w:rPr>
      </w:pPr>
      <w:r w:rsidRPr="00CE023D">
        <w:rPr>
          <w:rFonts w:ascii="Arial" w:hAnsi="Arial" w:cs="Arial"/>
          <w:b/>
          <w:sz w:val="28"/>
        </w:rPr>
        <w:t xml:space="preserve">COMPETENCIA. </w:t>
      </w:r>
    </w:p>
    <w:p w:rsidR="00BE275A" w:rsidRPr="00CE023D" w:rsidRDefault="00BE275A" w:rsidP="00BE275A">
      <w:pPr>
        <w:spacing w:before="320"/>
        <w:jc w:val="both"/>
        <w:rPr>
          <w:rFonts w:ascii="Arial" w:hAnsi="Arial" w:cs="Arial"/>
          <w:sz w:val="24"/>
        </w:rPr>
      </w:pPr>
      <w:r w:rsidRPr="00CE023D">
        <w:rPr>
          <w:rFonts w:ascii="Arial" w:hAnsi="Arial" w:cs="Arial"/>
          <w:sz w:val="24"/>
        </w:rPr>
        <w:t>Para poder establecer la Valoración de dicho inmueble se hace indispensable contratar la realización de un avalúo comercial que podrá ser adelantado por el INSTITUTO GEOGRÁFICO AGUSTÍN CODAZZI, (</w:t>
      </w:r>
      <w:r w:rsidR="008849AE">
        <w:rPr>
          <w:rFonts w:ascii="Arial" w:hAnsi="Arial" w:cs="Arial"/>
          <w:sz w:val="24"/>
        </w:rPr>
        <w:t>Decreto</w:t>
      </w:r>
      <w:r w:rsidRPr="00CE023D">
        <w:rPr>
          <w:rFonts w:ascii="Arial" w:hAnsi="Arial" w:cs="Arial"/>
          <w:sz w:val="24"/>
        </w:rPr>
        <w:t xml:space="preserve"> 1420 de 1998, Artículos 8° al 14°) o cualquier Persona Natural o Jurídica de carácter privado que se encuentre registrada en el Registro Nacional de Avaluadores y ampliamente acreditada en esas actividades, teniendo en cuenta el valor del contrato a celebrar con las especificaciones y requisitos que se describen más adelante. </w:t>
      </w:r>
    </w:p>
    <w:p w:rsidR="00BE275A" w:rsidRPr="007920C1" w:rsidRDefault="00BE275A" w:rsidP="008E41FC">
      <w:pPr>
        <w:spacing w:before="320"/>
        <w:jc w:val="center"/>
        <w:rPr>
          <w:rFonts w:ascii="Arial" w:hAnsi="Arial" w:cs="Arial"/>
          <w:b/>
          <w:sz w:val="28"/>
          <w:highlight w:val="cyan"/>
        </w:rPr>
      </w:pPr>
      <w:r w:rsidRPr="007920C1">
        <w:rPr>
          <w:rFonts w:ascii="Arial" w:hAnsi="Arial" w:cs="Arial"/>
          <w:b/>
          <w:sz w:val="28"/>
          <w:highlight w:val="cyan"/>
        </w:rPr>
        <w:t>DEFINICION</w:t>
      </w:r>
      <w:r w:rsidR="00B974D0" w:rsidRPr="007920C1">
        <w:rPr>
          <w:rFonts w:ascii="Arial" w:hAnsi="Arial" w:cs="Arial"/>
          <w:b/>
          <w:sz w:val="28"/>
          <w:highlight w:val="cyan"/>
        </w:rPr>
        <w:t>ES</w:t>
      </w:r>
      <w:r w:rsidR="008E41FC" w:rsidRPr="007920C1">
        <w:rPr>
          <w:rFonts w:ascii="Arial" w:hAnsi="Arial" w:cs="Arial"/>
          <w:b/>
          <w:sz w:val="28"/>
          <w:highlight w:val="cyan"/>
        </w:rPr>
        <w:t xml:space="preserve"> BASICAS</w:t>
      </w:r>
    </w:p>
    <w:p w:rsidR="00BE275A" w:rsidRPr="00CE023D" w:rsidRDefault="00B91BCD" w:rsidP="00BE275A">
      <w:pPr>
        <w:spacing w:before="320"/>
        <w:rPr>
          <w:rFonts w:ascii="Arial" w:hAnsi="Arial" w:cs="Arial"/>
          <w:b/>
          <w:sz w:val="28"/>
        </w:rPr>
      </w:pPr>
      <w:r w:rsidRPr="007920C1">
        <w:rPr>
          <w:rFonts w:ascii="Arial" w:hAnsi="Arial" w:cs="Arial"/>
          <w:b/>
          <w:sz w:val="28"/>
          <w:highlight w:val="cyan"/>
        </w:rPr>
        <w:t xml:space="preserve">VALOR </w:t>
      </w:r>
      <w:r w:rsidR="00BE275A" w:rsidRPr="007920C1">
        <w:rPr>
          <w:rFonts w:ascii="Arial" w:hAnsi="Arial" w:cs="Arial"/>
          <w:b/>
          <w:sz w:val="28"/>
          <w:highlight w:val="cyan"/>
        </w:rPr>
        <w:t>COMERCIAL</w:t>
      </w:r>
      <w:r w:rsidR="0066698E" w:rsidRPr="007920C1">
        <w:rPr>
          <w:rFonts w:ascii="Arial" w:hAnsi="Arial" w:cs="Arial"/>
          <w:b/>
          <w:sz w:val="28"/>
          <w:highlight w:val="cyan"/>
        </w:rPr>
        <w:t>-DEFIN</w:t>
      </w:r>
      <w:r w:rsidR="00B52AA8" w:rsidRPr="007920C1">
        <w:rPr>
          <w:rFonts w:ascii="Arial" w:hAnsi="Arial" w:cs="Arial"/>
          <w:b/>
          <w:sz w:val="28"/>
          <w:highlight w:val="cyan"/>
        </w:rPr>
        <w:t>ICIÓ</w:t>
      </w:r>
      <w:r w:rsidR="0066698E" w:rsidRPr="007920C1">
        <w:rPr>
          <w:rFonts w:ascii="Arial" w:hAnsi="Arial" w:cs="Arial"/>
          <w:b/>
          <w:sz w:val="28"/>
          <w:highlight w:val="cyan"/>
        </w:rPr>
        <w:t>N-</w:t>
      </w:r>
    </w:p>
    <w:p w:rsidR="00BE275A" w:rsidRPr="00900F0E" w:rsidRDefault="008849AE" w:rsidP="00BE275A">
      <w:pPr>
        <w:widowControl w:val="0"/>
        <w:autoSpaceDE w:val="0"/>
        <w:autoSpaceDN w:val="0"/>
        <w:adjustRightInd w:val="0"/>
        <w:spacing w:after="0" w:line="243" w:lineRule="auto"/>
        <w:ind w:right="69"/>
        <w:jc w:val="both"/>
        <w:rPr>
          <w:rFonts w:ascii="Arial" w:hAnsi="Arial" w:cs="Arial"/>
          <w:w w:val="101"/>
          <w:sz w:val="24"/>
          <w:szCs w:val="23"/>
        </w:rPr>
      </w:pPr>
      <w:r w:rsidRPr="007920C1">
        <w:rPr>
          <w:rFonts w:ascii="Arial" w:hAnsi="Arial" w:cs="Arial"/>
          <w:b/>
          <w:bCs/>
          <w:sz w:val="24"/>
          <w:szCs w:val="23"/>
          <w:highlight w:val="green"/>
        </w:rPr>
        <w:t>DECRETO</w:t>
      </w:r>
      <w:r w:rsidR="00BE275A" w:rsidRPr="007920C1">
        <w:rPr>
          <w:rFonts w:ascii="Arial" w:hAnsi="Arial" w:cs="Arial"/>
          <w:b/>
          <w:bCs/>
          <w:sz w:val="24"/>
          <w:szCs w:val="23"/>
          <w:highlight w:val="green"/>
        </w:rPr>
        <w:t xml:space="preserve"> 1420 DE 1998, ART</w:t>
      </w:r>
      <w:r w:rsidR="00BE275A" w:rsidRPr="007920C1">
        <w:rPr>
          <w:rFonts w:ascii="Arial" w:hAnsi="Arial" w:cs="Arial"/>
          <w:b/>
          <w:bCs/>
          <w:spacing w:val="-1"/>
          <w:sz w:val="24"/>
          <w:szCs w:val="23"/>
          <w:highlight w:val="green"/>
        </w:rPr>
        <w:t>IC</w:t>
      </w:r>
      <w:r w:rsidR="00BE275A" w:rsidRPr="007920C1">
        <w:rPr>
          <w:rFonts w:ascii="Arial" w:hAnsi="Arial" w:cs="Arial"/>
          <w:b/>
          <w:bCs/>
          <w:sz w:val="24"/>
          <w:szCs w:val="23"/>
          <w:highlight w:val="green"/>
        </w:rPr>
        <w:t>ULO</w:t>
      </w:r>
      <w:r w:rsidR="00BE275A" w:rsidRPr="007920C1">
        <w:rPr>
          <w:rFonts w:ascii="Arial" w:hAnsi="Arial" w:cs="Arial"/>
          <w:b/>
          <w:bCs/>
          <w:spacing w:val="11"/>
          <w:sz w:val="24"/>
          <w:szCs w:val="23"/>
          <w:highlight w:val="green"/>
        </w:rPr>
        <w:t xml:space="preserve"> </w:t>
      </w:r>
      <w:r w:rsidR="00BE275A" w:rsidRPr="007920C1">
        <w:rPr>
          <w:rFonts w:ascii="Arial" w:hAnsi="Arial" w:cs="Arial"/>
          <w:b/>
          <w:bCs/>
          <w:sz w:val="24"/>
          <w:szCs w:val="23"/>
          <w:highlight w:val="green"/>
        </w:rPr>
        <w:t>2o.</w:t>
      </w:r>
      <w:r w:rsidR="00BE275A" w:rsidRPr="007920C1">
        <w:rPr>
          <w:rFonts w:ascii="Arial" w:hAnsi="Arial" w:cs="Arial"/>
          <w:b/>
          <w:bCs/>
          <w:spacing w:val="3"/>
          <w:sz w:val="24"/>
          <w:szCs w:val="23"/>
          <w:highlight w:val="green"/>
        </w:rPr>
        <w:t xml:space="preserve"> </w:t>
      </w:r>
      <w:r w:rsidR="00BE275A" w:rsidRPr="007920C1">
        <w:rPr>
          <w:rFonts w:ascii="Arial" w:hAnsi="Arial" w:cs="Arial"/>
          <w:sz w:val="24"/>
          <w:szCs w:val="23"/>
          <w:highlight w:val="green"/>
        </w:rPr>
        <w:t>Se</w:t>
      </w:r>
      <w:r w:rsidR="00BE275A" w:rsidRPr="007920C1">
        <w:rPr>
          <w:rFonts w:ascii="Arial" w:hAnsi="Arial" w:cs="Arial"/>
          <w:spacing w:val="1"/>
          <w:sz w:val="24"/>
          <w:szCs w:val="23"/>
          <w:highlight w:val="green"/>
        </w:rPr>
        <w:t xml:space="preserve"> </w:t>
      </w:r>
      <w:r w:rsidR="00BE275A" w:rsidRPr="007920C1">
        <w:rPr>
          <w:rFonts w:ascii="Arial" w:hAnsi="Arial" w:cs="Arial"/>
          <w:sz w:val="24"/>
          <w:szCs w:val="23"/>
          <w:highlight w:val="green"/>
        </w:rPr>
        <w:t>en</w:t>
      </w:r>
      <w:r w:rsidR="00BE275A" w:rsidRPr="007920C1">
        <w:rPr>
          <w:rFonts w:ascii="Arial" w:hAnsi="Arial" w:cs="Arial"/>
          <w:spacing w:val="1"/>
          <w:sz w:val="24"/>
          <w:szCs w:val="23"/>
          <w:highlight w:val="green"/>
        </w:rPr>
        <w:t>t</w:t>
      </w:r>
      <w:r w:rsidR="00BE275A" w:rsidRPr="007920C1">
        <w:rPr>
          <w:rFonts w:ascii="Arial" w:hAnsi="Arial" w:cs="Arial"/>
          <w:spacing w:val="-1"/>
          <w:sz w:val="24"/>
          <w:szCs w:val="23"/>
          <w:highlight w:val="green"/>
        </w:rPr>
        <w:t>i</w:t>
      </w:r>
      <w:r w:rsidR="00BE275A" w:rsidRPr="007920C1">
        <w:rPr>
          <w:rFonts w:ascii="Arial" w:hAnsi="Arial" w:cs="Arial"/>
          <w:sz w:val="24"/>
          <w:szCs w:val="23"/>
          <w:highlight w:val="green"/>
        </w:rPr>
        <w:t>ende</w:t>
      </w:r>
      <w:r w:rsidR="00BE275A" w:rsidRPr="007920C1">
        <w:rPr>
          <w:rFonts w:ascii="Arial" w:hAnsi="Arial" w:cs="Arial"/>
          <w:spacing w:val="10"/>
          <w:sz w:val="24"/>
          <w:szCs w:val="23"/>
          <w:highlight w:val="green"/>
        </w:rPr>
        <w:t xml:space="preserve"> </w:t>
      </w:r>
      <w:r w:rsidR="00BE275A" w:rsidRPr="007920C1">
        <w:rPr>
          <w:rFonts w:ascii="Arial" w:hAnsi="Arial" w:cs="Arial"/>
          <w:spacing w:val="1"/>
          <w:sz w:val="24"/>
          <w:szCs w:val="23"/>
          <w:highlight w:val="green"/>
        </w:rPr>
        <w:t>p</w:t>
      </w:r>
      <w:r w:rsidR="00BE275A" w:rsidRPr="007920C1">
        <w:rPr>
          <w:rFonts w:ascii="Arial" w:hAnsi="Arial" w:cs="Arial"/>
          <w:spacing w:val="-1"/>
          <w:sz w:val="24"/>
          <w:szCs w:val="23"/>
          <w:highlight w:val="green"/>
        </w:rPr>
        <w:t>o</w:t>
      </w:r>
      <w:r w:rsidR="00BE275A" w:rsidRPr="007920C1">
        <w:rPr>
          <w:rFonts w:ascii="Arial" w:hAnsi="Arial" w:cs="Arial"/>
          <w:sz w:val="24"/>
          <w:szCs w:val="23"/>
          <w:highlight w:val="green"/>
        </w:rPr>
        <w:t>r</w:t>
      </w:r>
      <w:r w:rsidR="00BE275A" w:rsidRPr="007920C1">
        <w:rPr>
          <w:rFonts w:ascii="Arial" w:hAnsi="Arial" w:cs="Arial"/>
          <w:spacing w:val="4"/>
          <w:sz w:val="24"/>
          <w:szCs w:val="23"/>
          <w:highlight w:val="green"/>
        </w:rPr>
        <w:t xml:space="preserve"> </w:t>
      </w:r>
      <w:r w:rsidR="00BE275A" w:rsidRPr="007920C1">
        <w:rPr>
          <w:rFonts w:ascii="Arial" w:hAnsi="Arial" w:cs="Arial"/>
          <w:sz w:val="24"/>
          <w:szCs w:val="23"/>
          <w:highlight w:val="green"/>
        </w:rPr>
        <w:t>valor</w:t>
      </w:r>
      <w:r w:rsidR="00BE275A" w:rsidRPr="007920C1">
        <w:rPr>
          <w:rFonts w:ascii="Arial" w:hAnsi="Arial" w:cs="Arial"/>
          <w:spacing w:val="5"/>
          <w:sz w:val="24"/>
          <w:szCs w:val="23"/>
          <w:highlight w:val="green"/>
        </w:rPr>
        <w:t xml:space="preserve"> </w:t>
      </w:r>
      <w:r w:rsidR="00BE275A" w:rsidRPr="007920C1">
        <w:rPr>
          <w:rFonts w:ascii="Arial" w:hAnsi="Arial" w:cs="Arial"/>
          <w:sz w:val="24"/>
          <w:szCs w:val="23"/>
          <w:highlight w:val="green"/>
        </w:rPr>
        <w:t>comer</w:t>
      </w:r>
      <w:r w:rsidR="00BE275A" w:rsidRPr="007920C1">
        <w:rPr>
          <w:rFonts w:ascii="Arial" w:hAnsi="Arial" w:cs="Arial"/>
          <w:spacing w:val="2"/>
          <w:sz w:val="24"/>
          <w:szCs w:val="23"/>
          <w:highlight w:val="green"/>
        </w:rPr>
        <w:t>c</w:t>
      </w:r>
      <w:r w:rsidR="00BE275A" w:rsidRPr="007920C1">
        <w:rPr>
          <w:rFonts w:ascii="Arial" w:hAnsi="Arial" w:cs="Arial"/>
          <w:spacing w:val="-1"/>
          <w:sz w:val="24"/>
          <w:szCs w:val="23"/>
          <w:highlight w:val="green"/>
        </w:rPr>
        <w:t>i</w:t>
      </w:r>
      <w:r w:rsidR="00BE275A" w:rsidRPr="007920C1">
        <w:rPr>
          <w:rFonts w:ascii="Arial" w:hAnsi="Arial" w:cs="Arial"/>
          <w:sz w:val="24"/>
          <w:szCs w:val="23"/>
          <w:highlight w:val="green"/>
        </w:rPr>
        <w:t>al</w:t>
      </w:r>
      <w:r w:rsidR="00BE275A" w:rsidRPr="007920C1">
        <w:rPr>
          <w:rFonts w:ascii="Arial" w:hAnsi="Arial" w:cs="Arial"/>
          <w:spacing w:val="8"/>
          <w:sz w:val="24"/>
          <w:szCs w:val="23"/>
          <w:highlight w:val="green"/>
        </w:rPr>
        <w:t xml:space="preserve"> </w:t>
      </w:r>
      <w:r w:rsidR="00BE275A" w:rsidRPr="007920C1">
        <w:rPr>
          <w:rFonts w:ascii="Arial" w:hAnsi="Arial" w:cs="Arial"/>
          <w:sz w:val="24"/>
          <w:szCs w:val="23"/>
          <w:highlight w:val="green"/>
        </w:rPr>
        <w:t>de</w:t>
      </w:r>
      <w:r w:rsidR="00BE275A" w:rsidRPr="007920C1">
        <w:rPr>
          <w:rFonts w:ascii="Arial" w:hAnsi="Arial" w:cs="Arial"/>
          <w:spacing w:val="4"/>
          <w:sz w:val="24"/>
          <w:szCs w:val="23"/>
          <w:highlight w:val="green"/>
        </w:rPr>
        <w:t xml:space="preserve"> </w:t>
      </w:r>
      <w:r w:rsidR="00BE275A" w:rsidRPr="007920C1">
        <w:rPr>
          <w:rFonts w:ascii="Arial" w:hAnsi="Arial" w:cs="Arial"/>
          <w:sz w:val="24"/>
          <w:szCs w:val="23"/>
          <w:highlight w:val="green"/>
        </w:rPr>
        <w:t>un</w:t>
      </w:r>
      <w:r w:rsidR="00BE275A" w:rsidRPr="007920C1">
        <w:rPr>
          <w:rFonts w:ascii="Arial" w:hAnsi="Arial" w:cs="Arial"/>
          <w:spacing w:val="1"/>
          <w:sz w:val="24"/>
          <w:szCs w:val="23"/>
          <w:highlight w:val="green"/>
        </w:rPr>
        <w:t xml:space="preserve"> </w:t>
      </w:r>
      <w:r w:rsidR="00BE275A" w:rsidRPr="007920C1">
        <w:rPr>
          <w:rFonts w:ascii="Arial" w:hAnsi="Arial" w:cs="Arial"/>
          <w:sz w:val="24"/>
          <w:szCs w:val="23"/>
          <w:highlight w:val="green"/>
        </w:rPr>
        <w:t>inmu</w:t>
      </w:r>
      <w:r w:rsidR="00BE275A" w:rsidRPr="007920C1">
        <w:rPr>
          <w:rFonts w:ascii="Arial" w:hAnsi="Arial" w:cs="Arial"/>
          <w:spacing w:val="1"/>
          <w:sz w:val="24"/>
          <w:szCs w:val="23"/>
          <w:highlight w:val="green"/>
        </w:rPr>
        <w:t>e</w:t>
      </w:r>
      <w:r w:rsidR="00BE275A" w:rsidRPr="007920C1">
        <w:rPr>
          <w:rFonts w:ascii="Arial" w:hAnsi="Arial" w:cs="Arial"/>
          <w:sz w:val="24"/>
          <w:szCs w:val="23"/>
          <w:highlight w:val="green"/>
        </w:rPr>
        <w:t>ble</w:t>
      </w:r>
      <w:r w:rsidR="00BE275A" w:rsidRPr="007920C1">
        <w:rPr>
          <w:rFonts w:ascii="Arial" w:hAnsi="Arial" w:cs="Arial"/>
          <w:spacing w:val="8"/>
          <w:sz w:val="24"/>
          <w:szCs w:val="23"/>
          <w:highlight w:val="green"/>
        </w:rPr>
        <w:t xml:space="preserve"> </w:t>
      </w:r>
      <w:r w:rsidR="00BE275A" w:rsidRPr="007920C1">
        <w:rPr>
          <w:rFonts w:ascii="Arial" w:hAnsi="Arial" w:cs="Arial"/>
          <w:spacing w:val="1"/>
          <w:sz w:val="24"/>
          <w:szCs w:val="23"/>
          <w:highlight w:val="green"/>
        </w:rPr>
        <w:t>e</w:t>
      </w:r>
      <w:r w:rsidR="00BE275A" w:rsidRPr="007920C1">
        <w:rPr>
          <w:rFonts w:ascii="Arial" w:hAnsi="Arial" w:cs="Arial"/>
          <w:sz w:val="24"/>
          <w:szCs w:val="23"/>
          <w:highlight w:val="green"/>
        </w:rPr>
        <w:t>l p</w:t>
      </w:r>
      <w:r w:rsidR="00BE275A" w:rsidRPr="007920C1">
        <w:rPr>
          <w:rFonts w:ascii="Arial" w:hAnsi="Arial" w:cs="Arial"/>
          <w:spacing w:val="1"/>
          <w:sz w:val="24"/>
          <w:szCs w:val="23"/>
          <w:highlight w:val="green"/>
        </w:rPr>
        <w:t>r</w:t>
      </w:r>
      <w:r w:rsidR="00BE275A" w:rsidRPr="007920C1">
        <w:rPr>
          <w:rFonts w:ascii="Arial" w:hAnsi="Arial" w:cs="Arial"/>
          <w:spacing w:val="-1"/>
          <w:sz w:val="24"/>
          <w:szCs w:val="23"/>
          <w:highlight w:val="green"/>
        </w:rPr>
        <w:t>e</w:t>
      </w:r>
      <w:r w:rsidR="00BE275A" w:rsidRPr="007920C1">
        <w:rPr>
          <w:rFonts w:ascii="Arial" w:hAnsi="Arial" w:cs="Arial"/>
          <w:spacing w:val="2"/>
          <w:sz w:val="24"/>
          <w:szCs w:val="23"/>
          <w:highlight w:val="green"/>
        </w:rPr>
        <w:t>c</w:t>
      </w:r>
      <w:r w:rsidR="00BE275A" w:rsidRPr="007920C1">
        <w:rPr>
          <w:rFonts w:ascii="Arial" w:hAnsi="Arial" w:cs="Arial"/>
          <w:sz w:val="24"/>
          <w:szCs w:val="23"/>
          <w:highlight w:val="green"/>
        </w:rPr>
        <w:t>io</w:t>
      </w:r>
      <w:r w:rsidR="00BE275A" w:rsidRPr="007920C1">
        <w:rPr>
          <w:rFonts w:ascii="Arial" w:hAnsi="Arial" w:cs="Arial"/>
          <w:spacing w:val="4"/>
          <w:sz w:val="24"/>
          <w:szCs w:val="23"/>
          <w:highlight w:val="green"/>
        </w:rPr>
        <w:t xml:space="preserve"> </w:t>
      </w:r>
      <w:r w:rsidR="00BE275A" w:rsidRPr="007920C1">
        <w:rPr>
          <w:rFonts w:ascii="Arial" w:hAnsi="Arial" w:cs="Arial"/>
          <w:w w:val="101"/>
          <w:sz w:val="24"/>
          <w:szCs w:val="23"/>
          <w:highlight w:val="green"/>
        </w:rPr>
        <w:t xml:space="preserve">más </w:t>
      </w:r>
      <w:r w:rsidR="00BE275A" w:rsidRPr="007920C1">
        <w:rPr>
          <w:rFonts w:ascii="Arial" w:hAnsi="Arial" w:cs="Arial"/>
          <w:sz w:val="24"/>
          <w:szCs w:val="23"/>
          <w:highlight w:val="green"/>
        </w:rPr>
        <w:t>probable</w:t>
      </w:r>
      <w:r w:rsidR="00BE275A" w:rsidRPr="007920C1">
        <w:rPr>
          <w:rFonts w:ascii="Arial" w:hAnsi="Arial" w:cs="Arial"/>
          <w:spacing w:val="9"/>
          <w:sz w:val="24"/>
          <w:szCs w:val="23"/>
          <w:highlight w:val="green"/>
        </w:rPr>
        <w:t xml:space="preserve"> </w:t>
      </w:r>
      <w:r w:rsidR="00BE275A" w:rsidRPr="007920C1">
        <w:rPr>
          <w:rFonts w:ascii="Arial" w:hAnsi="Arial" w:cs="Arial"/>
          <w:spacing w:val="1"/>
          <w:sz w:val="24"/>
          <w:szCs w:val="23"/>
          <w:highlight w:val="green"/>
        </w:rPr>
        <w:t>p</w:t>
      </w:r>
      <w:r w:rsidR="00BE275A" w:rsidRPr="007920C1">
        <w:rPr>
          <w:rFonts w:ascii="Arial" w:hAnsi="Arial" w:cs="Arial"/>
          <w:sz w:val="24"/>
          <w:szCs w:val="23"/>
          <w:highlight w:val="green"/>
        </w:rPr>
        <w:t>or</w:t>
      </w:r>
      <w:r w:rsidR="00BE275A" w:rsidRPr="007920C1">
        <w:rPr>
          <w:rFonts w:ascii="Arial" w:hAnsi="Arial" w:cs="Arial"/>
          <w:spacing w:val="3"/>
          <w:sz w:val="24"/>
          <w:szCs w:val="23"/>
          <w:highlight w:val="green"/>
        </w:rPr>
        <w:t xml:space="preserve"> </w:t>
      </w:r>
      <w:r w:rsidR="00BE275A" w:rsidRPr="007920C1">
        <w:rPr>
          <w:rFonts w:ascii="Arial" w:hAnsi="Arial" w:cs="Arial"/>
          <w:sz w:val="24"/>
          <w:szCs w:val="23"/>
          <w:highlight w:val="green"/>
        </w:rPr>
        <w:t>el</w:t>
      </w:r>
      <w:r w:rsidR="00BE275A" w:rsidRPr="007920C1">
        <w:rPr>
          <w:rFonts w:ascii="Arial" w:hAnsi="Arial" w:cs="Arial"/>
          <w:spacing w:val="1"/>
          <w:sz w:val="24"/>
          <w:szCs w:val="23"/>
          <w:highlight w:val="green"/>
        </w:rPr>
        <w:t xml:space="preserve"> </w:t>
      </w:r>
      <w:r w:rsidR="00BE275A" w:rsidRPr="007920C1">
        <w:rPr>
          <w:rFonts w:ascii="Arial" w:hAnsi="Arial" w:cs="Arial"/>
          <w:sz w:val="24"/>
          <w:szCs w:val="23"/>
          <w:highlight w:val="green"/>
        </w:rPr>
        <w:t>cual</w:t>
      </w:r>
      <w:r w:rsidR="00BE275A" w:rsidRPr="007920C1">
        <w:rPr>
          <w:rFonts w:ascii="Arial" w:hAnsi="Arial" w:cs="Arial"/>
          <w:spacing w:val="4"/>
          <w:sz w:val="24"/>
          <w:szCs w:val="23"/>
          <w:highlight w:val="green"/>
        </w:rPr>
        <w:t xml:space="preserve"> </w:t>
      </w:r>
      <w:r w:rsidR="00BE275A" w:rsidRPr="007920C1">
        <w:rPr>
          <w:rFonts w:ascii="Arial" w:hAnsi="Arial" w:cs="Arial"/>
          <w:sz w:val="24"/>
          <w:szCs w:val="23"/>
          <w:highlight w:val="green"/>
        </w:rPr>
        <w:t>é</w:t>
      </w:r>
      <w:r w:rsidR="00BE275A" w:rsidRPr="007920C1">
        <w:rPr>
          <w:rFonts w:ascii="Arial" w:hAnsi="Arial" w:cs="Arial"/>
          <w:spacing w:val="2"/>
          <w:sz w:val="24"/>
          <w:szCs w:val="23"/>
          <w:highlight w:val="green"/>
        </w:rPr>
        <w:t>s</w:t>
      </w:r>
      <w:r w:rsidR="00BE275A" w:rsidRPr="007920C1">
        <w:rPr>
          <w:rFonts w:ascii="Arial" w:hAnsi="Arial" w:cs="Arial"/>
          <w:sz w:val="24"/>
          <w:szCs w:val="23"/>
          <w:highlight w:val="green"/>
        </w:rPr>
        <w:t>te</w:t>
      </w:r>
      <w:r w:rsidR="00BE275A" w:rsidRPr="007920C1">
        <w:rPr>
          <w:rFonts w:ascii="Arial" w:hAnsi="Arial" w:cs="Arial"/>
          <w:spacing w:val="3"/>
          <w:sz w:val="24"/>
          <w:szCs w:val="23"/>
          <w:highlight w:val="green"/>
        </w:rPr>
        <w:t xml:space="preserve"> </w:t>
      </w:r>
      <w:r w:rsidR="00BE275A" w:rsidRPr="007920C1">
        <w:rPr>
          <w:rFonts w:ascii="Arial" w:hAnsi="Arial" w:cs="Arial"/>
          <w:sz w:val="24"/>
          <w:szCs w:val="23"/>
          <w:highlight w:val="green"/>
        </w:rPr>
        <w:t>se</w:t>
      </w:r>
      <w:r w:rsidR="00BE275A" w:rsidRPr="007920C1">
        <w:rPr>
          <w:rFonts w:ascii="Arial" w:hAnsi="Arial" w:cs="Arial"/>
          <w:spacing w:val="1"/>
          <w:sz w:val="24"/>
          <w:szCs w:val="23"/>
          <w:highlight w:val="green"/>
        </w:rPr>
        <w:t xml:space="preserve"> t</w:t>
      </w:r>
      <w:r w:rsidR="00BE275A" w:rsidRPr="007920C1">
        <w:rPr>
          <w:rFonts w:ascii="Arial" w:hAnsi="Arial" w:cs="Arial"/>
          <w:sz w:val="24"/>
          <w:szCs w:val="23"/>
          <w:highlight w:val="green"/>
        </w:rPr>
        <w:t>r</w:t>
      </w:r>
      <w:r w:rsidR="00BE275A" w:rsidRPr="007920C1">
        <w:rPr>
          <w:rFonts w:ascii="Arial" w:hAnsi="Arial" w:cs="Arial"/>
          <w:spacing w:val="-1"/>
          <w:sz w:val="24"/>
          <w:szCs w:val="23"/>
          <w:highlight w:val="green"/>
        </w:rPr>
        <w:t>a</w:t>
      </w:r>
      <w:r w:rsidR="00BE275A" w:rsidRPr="007920C1">
        <w:rPr>
          <w:rFonts w:ascii="Arial" w:hAnsi="Arial" w:cs="Arial"/>
          <w:sz w:val="24"/>
          <w:szCs w:val="23"/>
          <w:highlight w:val="green"/>
        </w:rPr>
        <w:t>nsar</w:t>
      </w:r>
      <w:r w:rsidR="00BE275A" w:rsidRPr="007920C1">
        <w:rPr>
          <w:rFonts w:ascii="Arial" w:hAnsi="Arial" w:cs="Arial"/>
          <w:spacing w:val="1"/>
          <w:sz w:val="24"/>
          <w:szCs w:val="23"/>
          <w:highlight w:val="green"/>
        </w:rPr>
        <w:t>í</w:t>
      </w:r>
      <w:r w:rsidR="00BE275A" w:rsidRPr="007920C1">
        <w:rPr>
          <w:rFonts w:ascii="Arial" w:hAnsi="Arial" w:cs="Arial"/>
          <w:sz w:val="24"/>
          <w:szCs w:val="23"/>
          <w:highlight w:val="green"/>
        </w:rPr>
        <w:t>a</w:t>
      </w:r>
      <w:r w:rsidR="00BE275A" w:rsidRPr="007920C1">
        <w:rPr>
          <w:rFonts w:ascii="Arial" w:hAnsi="Arial" w:cs="Arial"/>
          <w:spacing w:val="8"/>
          <w:sz w:val="24"/>
          <w:szCs w:val="23"/>
          <w:highlight w:val="green"/>
        </w:rPr>
        <w:t xml:space="preserve"> </w:t>
      </w:r>
      <w:r w:rsidR="00BE275A" w:rsidRPr="007920C1">
        <w:rPr>
          <w:rFonts w:ascii="Arial" w:hAnsi="Arial" w:cs="Arial"/>
          <w:sz w:val="24"/>
          <w:szCs w:val="23"/>
          <w:highlight w:val="green"/>
        </w:rPr>
        <w:t>en</w:t>
      </w:r>
      <w:r w:rsidR="00BE275A" w:rsidRPr="007920C1">
        <w:rPr>
          <w:rFonts w:ascii="Arial" w:hAnsi="Arial" w:cs="Arial"/>
          <w:spacing w:val="2"/>
          <w:sz w:val="24"/>
          <w:szCs w:val="23"/>
          <w:highlight w:val="green"/>
        </w:rPr>
        <w:t xml:space="preserve"> </w:t>
      </w:r>
      <w:r w:rsidR="00BE275A" w:rsidRPr="007920C1">
        <w:rPr>
          <w:rFonts w:ascii="Arial" w:hAnsi="Arial" w:cs="Arial"/>
          <w:sz w:val="24"/>
          <w:szCs w:val="23"/>
          <w:highlight w:val="green"/>
        </w:rPr>
        <w:t>un</w:t>
      </w:r>
      <w:r w:rsidR="00BE275A" w:rsidRPr="007920C1">
        <w:rPr>
          <w:rFonts w:ascii="Arial" w:hAnsi="Arial" w:cs="Arial"/>
          <w:spacing w:val="1"/>
          <w:sz w:val="24"/>
          <w:szCs w:val="23"/>
          <w:highlight w:val="green"/>
        </w:rPr>
        <w:t xml:space="preserve"> </w:t>
      </w:r>
      <w:r w:rsidR="00BE275A" w:rsidRPr="007920C1">
        <w:rPr>
          <w:rFonts w:ascii="Arial" w:hAnsi="Arial" w:cs="Arial"/>
          <w:sz w:val="24"/>
          <w:szCs w:val="23"/>
          <w:highlight w:val="green"/>
        </w:rPr>
        <w:t>me</w:t>
      </w:r>
      <w:r w:rsidR="00BE275A" w:rsidRPr="007920C1">
        <w:rPr>
          <w:rFonts w:ascii="Arial" w:hAnsi="Arial" w:cs="Arial"/>
          <w:spacing w:val="1"/>
          <w:sz w:val="24"/>
          <w:szCs w:val="23"/>
          <w:highlight w:val="green"/>
        </w:rPr>
        <w:t>rc</w:t>
      </w:r>
      <w:r w:rsidR="00BE275A" w:rsidRPr="007920C1">
        <w:rPr>
          <w:rFonts w:ascii="Arial" w:hAnsi="Arial" w:cs="Arial"/>
          <w:sz w:val="24"/>
          <w:szCs w:val="23"/>
          <w:highlight w:val="green"/>
        </w:rPr>
        <w:t>ado</w:t>
      </w:r>
      <w:r w:rsidR="00BE275A" w:rsidRPr="007920C1">
        <w:rPr>
          <w:rFonts w:ascii="Arial" w:hAnsi="Arial" w:cs="Arial"/>
          <w:spacing w:val="8"/>
          <w:sz w:val="24"/>
          <w:szCs w:val="23"/>
          <w:highlight w:val="green"/>
        </w:rPr>
        <w:t xml:space="preserve"> </w:t>
      </w:r>
      <w:r w:rsidR="00BE275A" w:rsidRPr="007920C1">
        <w:rPr>
          <w:rFonts w:ascii="Arial" w:hAnsi="Arial" w:cs="Arial"/>
          <w:sz w:val="24"/>
          <w:szCs w:val="23"/>
          <w:highlight w:val="green"/>
        </w:rPr>
        <w:t>don</w:t>
      </w:r>
      <w:r w:rsidR="00BE275A" w:rsidRPr="007920C1">
        <w:rPr>
          <w:rFonts w:ascii="Arial" w:hAnsi="Arial" w:cs="Arial"/>
          <w:spacing w:val="1"/>
          <w:sz w:val="24"/>
          <w:szCs w:val="23"/>
          <w:highlight w:val="green"/>
        </w:rPr>
        <w:t>d</w:t>
      </w:r>
      <w:r w:rsidR="00BE275A" w:rsidRPr="007920C1">
        <w:rPr>
          <w:rFonts w:ascii="Arial" w:hAnsi="Arial" w:cs="Arial"/>
          <w:sz w:val="24"/>
          <w:szCs w:val="23"/>
          <w:highlight w:val="green"/>
        </w:rPr>
        <w:t>e</w:t>
      </w:r>
      <w:r w:rsidR="00BE275A" w:rsidRPr="007920C1">
        <w:rPr>
          <w:rFonts w:ascii="Arial" w:hAnsi="Arial" w:cs="Arial"/>
          <w:spacing w:val="5"/>
          <w:sz w:val="24"/>
          <w:szCs w:val="23"/>
          <w:highlight w:val="green"/>
        </w:rPr>
        <w:t xml:space="preserve"> </w:t>
      </w:r>
      <w:r w:rsidR="00BE275A" w:rsidRPr="007920C1">
        <w:rPr>
          <w:rFonts w:ascii="Arial" w:hAnsi="Arial" w:cs="Arial"/>
          <w:spacing w:val="1"/>
          <w:sz w:val="24"/>
          <w:szCs w:val="23"/>
          <w:highlight w:val="green"/>
        </w:rPr>
        <w:t>e</w:t>
      </w:r>
      <w:r w:rsidR="00BE275A" w:rsidRPr="007920C1">
        <w:rPr>
          <w:rFonts w:ascii="Arial" w:hAnsi="Arial" w:cs="Arial"/>
          <w:sz w:val="24"/>
          <w:szCs w:val="23"/>
          <w:highlight w:val="green"/>
        </w:rPr>
        <w:t>l</w:t>
      </w:r>
      <w:r w:rsidR="00BE275A" w:rsidRPr="007920C1">
        <w:rPr>
          <w:rFonts w:ascii="Arial" w:hAnsi="Arial" w:cs="Arial"/>
          <w:spacing w:val="3"/>
          <w:sz w:val="24"/>
          <w:szCs w:val="23"/>
          <w:highlight w:val="green"/>
        </w:rPr>
        <w:t xml:space="preserve"> </w:t>
      </w:r>
      <w:r w:rsidR="00BE275A" w:rsidRPr="007920C1">
        <w:rPr>
          <w:rFonts w:ascii="Arial" w:hAnsi="Arial" w:cs="Arial"/>
          <w:sz w:val="24"/>
          <w:szCs w:val="23"/>
          <w:highlight w:val="green"/>
        </w:rPr>
        <w:t>comprador</w:t>
      </w:r>
      <w:r w:rsidR="00BE275A" w:rsidRPr="007920C1">
        <w:rPr>
          <w:rFonts w:ascii="Arial" w:hAnsi="Arial" w:cs="Arial"/>
          <w:spacing w:val="11"/>
          <w:sz w:val="24"/>
          <w:szCs w:val="23"/>
          <w:highlight w:val="green"/>
        </w:rPr>
        <w:t xml:space="preserve"> </w:t>
      </w:r>
      <w:r w:rsidR="00BE275A" w:rsidRPr="007920C1">
        <w:rPr>
          <w:rFonts w:ascii="Arial" w:hAnsi="Arial" w:cs="Arial"/>
          <w:sz w:val="24"/>
          <w:szCs w:val="23"/>
          <w:highlight w:val="green"/>
        </w:rPr>
        <w:t xml:space="preserve">y </w:t>
      </w:r>
      <w:r w:rsidR="00BE275A" w:rsidRPr="007920C1">
        <w:rPr>
          <w:rFonts w:ascii="Arial" w:hAnsi="Arial" w:cs="Arial"/>
          <w:spacing w:val="1"/>
          <w:w w:val="101"/>
          <w:sz w:val="24"/>
          <w:szCs w:val="23"/>
          <w:highlight w:val="green"/>
        </w:rPr>
        <w:t>e</w:t>
      </w:r>
      <w:r w:rsidR="00BE275A" w:rsidRPr="007920C1">
        <w:rPr>
          <w:rFonts w:ascii="Arial" w:hAnsi="Arial" w:cs="Arial"/>
          <w:w w:val="101"/>
          <w:sz w:val="24"/>
          <w:szCs w:val="23"/>
          <w:highlight w:val="green"/>
        </w:rPr>
        <w:t xml:space="preserve">l </w:t>
      </w:r>
      <w:r w:rsidR="00BE275A" w:rsidRPr="007920C1">
        <w:rPr>
          <w:rFonts w:ascii="Arial" w:hAnsi="Arial" w:cs="Arial"/>
          <w:sz w:val="24"/>
          <w:szCs w:val="23"/>
          <w:highlight w:val="green"/>
        </w:rPr>
        <w:t>vendedor</w:t>
      </w:r>
      <w:r w:rsidR="00BE275A" w:rsidRPr="007920C1">
        <w:rPr>
          <w:rFonts w:ascii="Arial" w:hAnsi="Arial" w:cs="Arial"/>
          <w:spacing w:val="46"/>
          <w:sz w:val="24"/>
          <w:szCs w:val="23"/>
          <w:highlight w:val="green"/>
        </w:rPr>
        <w:t xml:space="preserve"> </w:t>
      </w:r>
      <w:r w:rsidR="00BE275A" w:rsidRPr="007920C1">
        <w:rPr>
          <w:rFonts w:ascii="Arial" w:hAnsi="Arial" w:cs="Arial"/>
          <w:sz w:val="24"/>
          <w:szCs w:val="23"/>
          <w:highlight w:val="green"/>
        </w:rPr>
        <w:t>actuar</w:t>
      </w:r>
      <w:r w:rsidR="00BE275A" w:rsidRPr="007920C1">
        <w:rPr>
          <w:rFonts w:ascii="Arial" w:hAnsi="Arial" w:cs="Arial"/>
          <w:spacing w:val="1"/>
          <w:sz w:val="24"/>
          <w:szCs w:val="23"/>
          <w:highlight w:val="green"/>
        </w:rPr>
        <w:t>í</w:t>
      </w:r>
      <w:r w:rsidR="00BE275A" w:rsidRPr="007920C1">
        <w:rPr>
          <w:rFonts w:ascii="Arial" w:hAnsi="Arial" w:cs="Arial"/>
          <w:sz w:val="24"/>
          <w:szCs w:val="23"/>
          <w:highlight w:val="green"/>
        </w:rPr>
        <w:t>an</w:t>
      </w:r>
      <w:r w:rsidR="00BE275A" w:rsidRPr="007920C1">
        <w:rPr>
          <w:rFonts w:ascii="Arial" w:hAnsi="Arial" w:cs="Arial"/>
          <w:spacing w:val="44"/>
          <w:sz w:val="24"/>
          <w:szCs w:val="23"/>
          <w:highlight w:val="green"/>
        </w:rPr>
        <w:t xml:space="preserve"> </w:t>
      </w:r>
      <w:r w:rsidR="00BE275A" w:rsidRPr="007920C1">
        <w:rPr>
          <w:rFonts w:ascii="Arial" w:hAnsi="Arial" w:cs="Arial"/>
          <w:sz w:val="24"/>
          <w:szCs w:val="23"/>
          <w:highlight w:val="green"/>
        </w:rPr>
        <w:t>libremen</w:t>
      </w:r>
      <w:r w:rsidR="00BE275A" w:rsidRPr="007920C1">
        <w:rPr>
          <w:rFonts w:ascii="Arial" w:hAnsi="Arial" w:cs="Arial"/>
          <w:spacing w:val="1"/>
          <w:sz w:val="24"/>
          <w:szCs w:val="23"/>
          <w:highlight w:val="green"/>
        </w:rPr>
        <w:t>t</w:t>
      </w:r>
      <w:r w:rsidR="00BE275A" w:rsidRPr="007920C1">
        <w:rPr>
          <w:rFonts w:ascii="Arial" w:hAnsi="Arial" w:cs="Arial"/>
          <w:sz w:val="24"/>
          <w:szCs w:val="23"/>
          <w:highlight w:val="green"/>
        </w:rPr>
        <w:t>e,</w:t>
      </w:r>
      <w:r w:rsidR="00BE275A" w:rsidRPr="007920C1">
        <w:rPr>
          <w:rFonts w:ascii="Arial" w:hAnsi="Arial" w:cs="Arial"/>
          <w:spacing w:val="46"/>
          <w:sz w:val="24"/>
          <w:szCs w:val="23"/>
          <w:highlight w:val="green"/>
        </w:rPr>
        <w:t xml:space="preserve"> </w:t>
      </w:r>
      <w:r w:rsidR="00BE275A" w:rsidRPr="007920C1">
        <w:rPr>
          <w:rFonts w:ascii="Arial" w:hAnsi="Arial" w:cs="Arial"/>
          <w:sz w:val="24"/>
          <w:szCs w:val="23"/>
          <w:highlight w:val="green"/>
        </w:rPr>
        <w:t>con</w:t>
      </w:r>
      <w:r w:rsidR="00BE275A" w:rsidRPr="007920C1">
        <w:rPr>
          <w:rFonts w:ascii="Arial" w:hAnsi="Arial" w:cs="Arial"/>
          <w:spacing w:val="39"/>
          <w:sz w:val="24"/>
          <w:szCs w:val="23"/>
          <w:highlight w:val="green"/>
        </w:rPr>
        <w:t xml:space="preserve"> </w:t>
      </w:r>
      <w:r w:rsidR="00BE275A" w:rsidRPr="007920C1">
        <w:rPr>
          <w:rFonts w:ascii="Arial" w:hAnsi="Arial" w:cs="Arial"/>
          <w:sz w:val="24"/>
          <w:szCs w:val="23"/>
          <w:highlight w:val="green"/>
        </w:rPr>
        <w:t>el</w:t>
      </w:r>
      <w:r w:rsidR="00BE275A" w:rsidRPr="007920C1">
        <w:rPr>
          <w:rFonts w:ascii="Arial" w:hAnsi="Arial" w:cs="Arial"/>
          <w:spacing w:val="37"/>
          <w:sz w:val="24"/>
          <w:szCs w:val="23"/>
          <w:highlight w:val="green"/>
        </w:rPr>
        <w:t xml:space="preserve"> </w:t>
      </w:r>
      <w:r w:rsidR="00BE275A" w:rsidRPr="007920C1">
        <w:rPr>
          <w:rFonts w:ascii="Arial" w:hAnsi="Arial" w:cs="Arial"/>
          <w:spacing w:val="1"/>
          <w:sz w:val="24"/>
          <w:szCs w:val="23"/>
          <w:highlight w:val="green"/>
        </w:rPr>
        <w:t>c</w:t>
      </w:r>
      <w:r w:rsidR="00BE275A" w:rsidRPr="007920C1">
        <w:rPr>
          <w:rFonts w:ascii="Arial" w:hAnsi="Arial" w:cs="Arial"/>
          <w:sz w:val="24"/>
          <w:szCs w:val="23"/>
          <w:highlight w:val="green"/>
        </w:rPr>
        <w:t>onoci</w:t>
      </w:r>
      <w:r w:rsidR="00BE275A" w:rsidRPr="007920C1">
        <w:rPr>
          <w:rFonts w:ascii="Arial" w:hAnsi="Arial" w:cs="Arial"/>
          <w:spacing w:val="1"/>
          <w:sz w:val="24"/>
          <w:szCs w:val="23"/>
          <w:highlight w:val="green"/>
        </w:rPr>
        <w:t>m</w:t>
      </w:r>
      <w:r w:rsidR="00BE275A" w:rsidRPr="007920C1">
        <w:rPr>
          <w:rFonts w:ascii="Arial" w:hAnsi="Arial" w:cs="Arial"/>
          <w:spacing w:val="-1"/>
          <w:sz w:val="24"/>
          <w:szCs w:val="23"/>
          <w:highlight w:val="green"/>
        </w:rPr>
        <w:t>i</w:t>
      </w:r>
      <w:r w:rsidR="00BE275A" w:rsidRPr="007920C1">
        <w:rPr>
          <w:rFonts w:ascii="Arial" w:hAnsi="Arial" w:cs="Arial"/>
          <w:sz w:val="24"/>
          <w:szCs w:val="23"/>
          <w:highlight w:val="green"/>
        </w:rPr>
        <w:t>en</w:t>
      </w:r>
      <w:r w:rsidR="00BE275A" w:rsidRPr="007920C1">
        <w:rPr>
          <w:rFonts w:ascii="Arial" w:hAnsi="Arial" w:cs="Arial"/>
          <w:spacing w:val="1"/>
          <w:sz w:val="24"/>
          <w:szCs w:val="23"/>
          <w:highlight w:val="green"/>
        </w:rPr>
        <w:t>t</w:t>
      </w:r>
      <w:r w:rsidR="00BE275A" w:rsidRPr="007920C1">
        <w:rPr>
          <w:rFonts w:ascii="Arial" w:hAnsi="Arial" w:cs="Arial"/>
          <w:sz w:val="24"/>
          <w:szCs w:val="23"/>
          <w:highlight w:val="green"/>
        </w:rPr>
        <w:t>o</w:t>
      </w:r>
      <w:r w:rsidR="00BE275A" w:rsidRPr="007920C1">
        <w:rPr>
          <w:rFonts w:ascii="Arial" w:hAnsi="Arial" w:cs="Arial"/>
          <w:spacing w:val="48"/>
          <w:sz w:val="24"/>
          <w:szCs w:val="23"/>
          <w:highlight w:val="green"/>
        </w:rPr>
        <w:t xml:space="preserve"> </w:t>
      </w:r>
      <w:r w:rsidR="00BE275A" w:rsidRPr="007920C1">
        <w:rPr>
          <w:rFonts w:ascii="Arial" w:hAnsi="Arial" w:cs="Arial"/>
          <w:sz w:val="24"/>
          <w:szCs w:val="23"/>
          <w:highlight w:val="green"/>
        </w:rPr>
        <w:t>de</w:t>
      </w:r>
      <w:r w:rsidR="00BE275A" w:rsidRPr="007920C1">
        <w:rPr>
          <w:rFonts w:ascii="Arial" w:hAnsi="Arial" w:cs="Arial"/>
          <w:spacing w:val="38"/>
          <w:sz w:val="24"/>
          <w:szCs w:val="23"/>
          <w:highlight w:val="green"/>
        </w:rPr>
        <w:t xml:space="preserve"> </w:t>
      </w:r>
      <w:r w:rsidR="00BE275A" w:rsidRPr="007920C1">
        <w:rPr>
          <w:rFonts w:ascii="Arial" w:hAnsi="Arial" w:cs="Arial"/>
          <w:sz w:val="24"/>
          <w:szCs w:val="23"/>
          <w:highlight w:val="green"/>
        </w:rPr>
        <w:t>las</w:t>
      </w:r>
      <w:r w:rsidR="00BE275A" w:rsidRPr="007920C1">
        <w:rPr>
          <w:rFonts w:ascii="Arial" w:hAnsi="Arial" w:cs="Arial"/>
          <w:spacing w:val="39"/>
          <w:sz w:val="24"/>
          <w:szCs w:val="23"/>
          <w:highlight w:val="green"/>
        </w:rPr>
        <w:t xml:space="preserve"> </w:t>
      </w:r>
      <w:r w:rsidR="00BE275A" w:rsidRPr="007920C1">
        <w:rPr>
          <w:rFonts w:ascii="Arial" w:hAnsi="Arial" w:cs="Arial"/>
          <w:sz w:val="24"/>
          <w:szCs w:val="23"/>
          <w:highlight w:val="green"/>
        </w:rPr>
        <w:t>cond</w:t>
      </w:r>
      <w:r w:rsidR="00BE275A" w:rsidRPr="007920C1">
        <w:rPr>
          <w:rFonts w:ascii="Arial" w:hAnsi="Arial" w:cs="Arial"/>
          <w:spacing w:val="-2"/>
          <w:sz w:val="24"/>
          <w:szCs w:val="23"/>
          <w:highlight w:val="green"/>
        </w:rPr>
        <w:t>i</w:t>
      </w:r>
      <w:r w:rsidR="00BE275A" w:rsidRPr="007920C1">
        <w:rPr>
          <w:rFonts w:ascii="Arial" w:hAnsi="Arial" w:cs="Arial"/>
          <w:spacing w:val="2"/>
          <w:sz w:val="24"/>
          <w:szCs w:val="23"/>
          <w:highlight w:val="green"/>
        </w:rPr>
        <w:t>c</w:t>
      </w:r>
      <w:r w:rsidR="00BE275A" w:rsidRPr="007920C1">
        <w:rPr>
          <w:rFonts w:ascii="Arial" w:hAnsi="Arial" w:cs="Arial"/>
          <w:spacing w:val="-1"/>
          <w:sz w:val="24"/>
          <w:szCs w:val="23"/>
          <w:highlight w:val="green"/>
        </w:rPr>
        <w:t>i</w:t>
      </w:r>
      <w:r w:rsidR="00BE275A" w:rsidRPr="007920C1">
        <w:rPr>
          <w:rFonts w:ascii="Arial" w:hAnsi="Arial" w:cs="Arial"/>
          <w:sz w:val="24"/>
          <w:szCs w:val="23"/>
          <w:highlight w:val="green"/>
        </w:rPr>
        <w:t>ones</w:t>
      </w:r>
      <w:r w:rsidR="00BE275A" w:rsidRPr="007920C1">
        <w:rPr>
          <w:rFonts w:ascii="Arial" w:hAnsi="Arial" w:cs="Arial"/>
          <w:spacing w:val="48"/>
          <w:sz w:val="24"/>
          <w:szCs w:val="23"/>
          <w:highlight w:val="green"/>
        </w:rPr>
        <w:t xml:space="preserve"> </w:t>
      </w:r>
      <w:r w:rsidR="00BE275A" w:rsidRPr="007920C1">
        <w:rPr>
          <w:rFonts w:ascii="Arial" w:hAnsi="Arial" w:cs="Arial"/>
          <w:spacing w:val="1"/>
          <w:sz w:val="24"/>
          <w:szCs w:val="23"/>
          <w:highlight w:val="green"/>
        </w:rPr>
        <w:t>f</w:t>
      </w:r>
      <w:r w:rsidR="00BE275A" w:rsidRPr="007920C1">
        <w:rPr>
          <w:rFonts w:ascii="Arial" w:hAnsi="Arial" w:cs="Arial"/>
          <w:spacing w:val="-1"/>
          <w:sz w:val="24"/>
          <w:szCs w:val="23"/>
          <w:highlight w:val="green"/>
        </w:rPr>
        <w:t>í</w:t>
      </w:r>
      <w:r w:rsidR="00BE275A" w:rsidRPr="007920C1">
        <w:rPr>
          <w:rFonts w:ascii="Arial" w:hAnsi="Arial" w:cs="Arial"/>
          <w:sz w:val="24"/>
          <w:szCs w:val="23"/>
          <w:highlight w:val="green"/>
        </w:rPr>
        <w:t>s</w:t>
      </w:r>
      <w:r w:rsidR="00BE275A" w:rsidRPr="007920C1">
        <w:rPr>
          <w:rFonts w:ascii="Arial" w:hAnsi="Arial" w:cs="Arial"/>
          <w:spacing w:val="-1"/>
          <w:sz w:val="24"/>
          <w:szCs w:val="23"/>
          <w:highlight w:val="green"/>
        </w:rPr>
        <w:t>i</w:t>
      </w:r>
      <w:r w:rsidR="00BE275A" w:rsidRPr="007920C1">
        <w:rPr>
          <w:rFonts w:ascii="Arial" w:hAnsi="Arial" w:cs="Arial"/>
          <w:sz w:val="24"/>
          <w:szCs w:val="23"/>
          <w:highlight w:val="green"/>
        </w:rPr>
        <w:t>cas</w:t>
      </w:r>
      <w:r w:rsidR="00BE275A" w:rsidRPr="007920C1">
        <w:rPr>
          <w:rFonts w:ascii="Arial" w:hAnsi="Arial" w:cs="Arial"/>
          <w:spacing w:val="43"/>
          <w:sz w:val="24"/>
          <w:szCs w:val="23"/>
          <w:highlight w:val="green"/>
        </w:rPr>
        <w:t xml:space="preserve"> </w:t>
      </w:r>
      <w:r w:rsidR="00BE275A" w:rsidRPr="007920C1">
        <w:rPr>
          <w:rFonts w:ascii="Arial" w:hAnsi="Arial" w:cs="Arial"/>
          <w:w w:val="101"/>
          <w:sz w:val="24"/>
          <w:szCs w:val="23"/>
          <w:highlight w:val="green"/>
        </w:rPr>
        <w:t xml:space="preserve">y </w:t>
      </w:r>
      <w:r w:rsidR="00BE275A" w:rsidRPr="007920C1">
        <w:rPr>
          <w:rFonts w:ascii="Arial" w:hAnsi="Arial" w:cs="Arial"/>
          <w:sz w:val="24"/>
          <w:szCs w:val="23"/>
          <w:highlight w:val="green"/>
        </w:rPr>
        <w:t>jurídicas</w:t>
      </w:r>
      <w:r w:rsidR="00BE275A" w:rsidRPr="007920C1">
        <w:rPr>
          <w:rFonts w:ascii="Arial" w:hAnsi="Arial" w:cs="Arial"/>
          <w:spacing w:val="10"/>
          <w:sz w:val="24"/>
          <w:szCs w:val="23"/>
          <w:highlight w:val="green"/>
        </w:rPr>
        <w:t xml:space="preserve"> </w:t>
      </w:r>
      <w:r w:rsidR="00BE275A" w:rsidRPr="007920C1">
        <w:rPr>
          <w:rFonts w:ascii="Arial" w:hAnsi="Arial" w:cs="Arial"/>
          <w:sz w:val="24"/>
          <w:szCs w:val="23"/>
          <w:highlight w:val="green"/>
        </w:rPr>
        <w:t>que</w:t>
      </w:r>
      <w:r w:rsidR="00BE275A" w:rsidRPr="007920C1">
        <w:rPr>
          <w:rFonts w:ascii="Arial" w:hAnsi="Arial" w:cs="Arial"/>
          <w:spacing w:val="5"/>
          <w:sz w:val="24"/>
          <w:szCs w:val="23"/>
          <w:highlight w:val="green"/>
        </w:rPr>
        <w:t xml:space="preserve"> </w:t>
      </w:r>
      <w:r w:rsidR="00BE275A" w:rsidRPr="007920C1">
        <w:rPr>
          <w:rFonts w:ascii="Arial" w:hAnsi="Arial" w:cs="Arial"/>
          <w:sz w:val="24"/>
          <w:szCs w:val="23"/>
          <w:highlight w:val="green"/>
        </w:rPr>
        <w:t>a</w:t>
      </w:r>
      <w:r w:rsidR="00BE275A" w:rsidRPr="007920C1">
        <w:rPr>
          <w:rFonts w:ascii="Arial" w:hAnsi="Arial" w:cs="Arial"/>
          <w:spacing w:val="1"/>
          <w:sz w:val="24"/>
          <w:szCs w:val="23"/>
          <w:highlight w:val="green"/>
        </w:rPr>
        <w:t>f</w:t>
      </w:r>
      <w:r w:rsidR="00BE275A" w:rsidRPr="007920C1">
        <w:rPr>
          <w:rFonts w:ascii="Arial" w:hAnsi="Arial" w:cs="Arial"/>
          <w:sz w:val="24"/>
          <w:szCs w:val="23"/>
          <w:highlight w:val="green"/>
        </w:rPr>
        <w:t>ectan</w:t>
      </w:r>
      <w:r w:rsidR="00BE275A" w:rsidRPr="007920C1">
        <w:rPr>
          <w:rFonts w:ascii="Arial" w:hAnsi="Arial" w:cs="Arial"/>
          <w:spacing w:val="10"/>
          <w:sz w:val="24"/>
          <w:szCs w:val="23"/>
          <w:highlight w:val="green"/>
        </w:rPr>
        <w:t xml:space="preserve"> </w:t>
      </w:r>
      <w:r w:rsidR="00BE275A" w:rsidRPr="007920C1">
        <w:rPr>
          <w:rFonts w:ascii="Arial" w:hAnsi="Arial" w:cs="Arial"/>
          <w:sz w:val="24"/>
          <w:szCs w:val="23"/>
          <w:highlight w:val="green"/>
        </w:rPr>
        <w:t>el</w:t>
      </w:r>
      <w:r w:rsidR="00BE275A" w:rsidRPr="007920C1">
        <w:rPr>
          <w:rFonts w:ascii="Arial" w:hAnsi="Arial" w:cs="Arial"/>
          <w:spacing w:val="3"/>
          <w:sz w:val="24"/>
          <w:szCs w:val="23"/>
          <w:highlight w:val="green"/>
        </w:rPr>
        <w:t xml:space="preserve"> </w:t>
      </w:r>
      <w:r w:rsidR="00BE275A" w:rsidRPr="007920C1">
        <w:rPr>
          <w:rFonts w:ascii="Arial" w:hAnsi="Arial" w:cs="Arial"/>
          <w:w w:val="101"/>
          <w:sz w:val="24"/>
          <w:szCs w:val="23"/>
          <w:highlight w:val="green"/>
        </w:rPr>
        <w:t>bien.</w:t>
      </w:r>
    </w:p>
    <w:p w:rsidR="00B974D0" w:rsidRPr="007920C1" w:rsidRDefault="00B974D0" w:rsidP="00192B80">
      <w:pPr>
        <w:spacing w:before="320"/>
        <w:rPr>
          <w:rFonts w:ascii="Arial" w:hAnsi="Arial" w:cs="Arial"/>
          <w:b/>
          <w:sz w:val="28"/>
          <w:highlight w:val="cyan"/>
        </w:rPr>
      </w:pPr>
      <w:r w:rsidRPr="007920C1">
        <w:rPr>
          <w:rFonts w:ascii="Arial" w:hAnsi="Arial" w:cs="Arial"/>
          <w:b/>
          <w:sz w:val="28"/>
          <w:highlight w:val="cyan"/>
        </w:rPr>
        <w:lastRenderedPageBreak/>
        <w:t>PREDIO</w:t>
      </w:r>
    </w:p>
    <w:p w:rsidR="00A65034" w:rsidRPr="007920C1" w:rsidRDefault="00B974D0" w:rsidP="00A65034">
      <w:pPr>
        <w:widowControl w:val="0"/>
        <w:autoSpaceDE w:val="0"/>
        <w:autoSpaceDN w:val="0"/>
        <w:adjustRightInd w:val="0"/>
        <w:spacing w:after="120" w:line="243" w:lineRule="auto"/>
        <w:ind w:right="69"/>
        <w:jc w:val="both"/>
        <w:rPr>
          <w:rFonts w:ascii="Arial" w:hAnsi="Arial" w:cs="Arial"/>
          <w:w w:val="101"/>
          <w:sz w:val="24"/>
          <w:szCs w:val="23"/>
          <w:highlight w:val="cyan"/>
        </w:rPr>
      </w:pPr>
      <w:r w:rsidRPr="007920C1">
        <w:rPr>
          <w:rFonts w:ascii="Arial" w:hAnsi="Arial" w:cs="Arial"/>
          <w:sz w:val="24"/>
          <w:szCs w:val="23"/>
          <w:highlight w:val="cyan"/>
        </w:rPr>
        <w:t>Es un inmueble no separado por otro predio público o privado, con o sin construcciones y/o edificaciones, perteneciente a personas naturales o jurídicas. El predio mantiene su unidad aunque esté atravesado por corrientes de agua pública. (</w:t>
      </w:r>
      <w:r w:rsidR="002964CE" w:rsidRPr="007920C1">
        <w:rPr>
          <w:rFonts w:ascii="Arial" w:hAnsi="Arial" w:cs="Arial"/>
          <w:sz w:val="24"/>
          <w:szCs w:val="23"/>
          <w:highlight w:val="cyan"/>
        </w:rPr>
        <w:t>Artículo</w:t>
      </w:r>
      <w:r w:rsidRPr="007920C1">
        <w:rPr>
          <w:rFonts w:ascii="Arial" w:hAnsi="Arial" w:cs="Arial"/>
          <w:sz w:val="24"/>
          <w:szCs w:val="23"/>
          <w:highlight w:val="cyan"/>
        </w:rPr>
        <w:t xml:space="preserve"> 9°, </w:t>
      </w:r>
      <w:r w:rsidR="002964CE" w:rsidRPr="007920C1">
        <w:rPr>
          <w:rFonts w:ascii="Arial" w:hAnsi="Arial" w:cs="Arial"/>
          <w:sz w:val="24"/>
          <w:szCs w:val="23"/>
          <w:highlight w:val="cyan"/>
        </w:rPr>
        <w:t>Resolución</w:t>
      </w:r>
      <w:r w:rsidRPr="007920C1">
        <w:rPr>
          <w:rFonts w:ascii="Arial" w:hAnsi="Arial" w:cs="Arial"/>
          <w:sz w:val="24"/>
          <w:szCs w:val="23"/>
          <w:highlight w:val="cyan"/>
        </w:rPr>
        <w:t xml:space="preserve"> IGAC 70 DE 2011</w:t>
      </w:r>
      <w:r w:rsidR="002964CE" w:rsidRPr="007920C1">
        <w:rPr>
          <w:rFonts w:ascii="Arial" w:hAnsi="Arial" w:cs="Arial"/>
          <w:sz w:val="24"/>
          <w:szCs w:val="23"/>
          <w:highlight w:val="cyan"/>
        </w:rPr>
        <w:t>).</w:t>
      </w:r>
      <w:r w:rsidR="00A65034" w:rsidRPr="007920C1">
        <w:rPr>
          <w:rFonts w:ascii="Arial" w:hAnsi="Arial" w:cs="Arial"/>
          <w:w w:val="101"/>
          <w:sz w:val="24"/>
          <w:szCs w:val="23"/>
          <w:highlight w:val="cyan"/>
        </w:rPr>
        <w:t xml:space="preserve"> </w:t>
      </w:r>
    </w:p>
    <w:p w:rsidR="002964CE" w:rsidRPr="00900F0E" w:rsidRDefault="002964CE" w:rsidP="00A65034">
      <w:pPr>
        <w:widowControl w:val="0"/>
        <w:autoSpaceDE w:val="0"/>
        <w:autoSpaceDN w:val="0"/>
        <w:adjustRightInd w:val="0"/>
        <w:spacing w:after="120" w:line="243" w:lineRule="auto"/>
        <w:ind w:right="69"/>
        <w:jc w:val="both"/>
        <w:rPr>
          <w:rFonts w:ascii="Arial" w:hAnsi="Arial" w:cs="Arial"/>
          <w:sz w:val="24"/>
          <w:szCs w:val="23"/>
        </w:rPr>
      </w:pPr>
      <w:r w:rsidRPr="007920C1">
        <w:rPr>
          <w:rFonts w:ascii="Arial" w:hAnsi="Arial" w:cs="Arial"/>
          <w:sz w:val="24"/>
          <w:szCs w:val="23"/>
          <w:highlight w:val="cyan"/>
        </w:rPr>
        <w:t>Se incluyen en esta definición los baldíos, los ejidos, los vacantes, los resguardos indígenas, las reservas naturales, las tierras de las comunidades negras, la propiedad horizontal, los condominios (unidades inmobiliarias cerradas), las multipropiedades, las parcelaciones, los parques cementerios, los bienes de uso público y todos aquellos otros que se encuentren individualizados con una matrícula inmobiliaria, así como las mejoras por edificaciones en terreno ajeno. (</w:t>
      </w:r>
      <w:r w:rsidR="002918AB" w:rsidRPr="007920C1">
        <w:rPr>
          <w:rFonts w:ascii="Arial" w:hAnsi="Arial" w:cs="Arial"/>
          <w:sz w:val="24"/>
          <w:szCs w:val="23"/>
          <w:highlight w:val="cyan"/>
        </w:rPr>
        <w:t>Parágrafo</w:t>
      </w:r>
      <w:r w:rsidRPr="007920C1">
        <w:rPr>
          <w:rFonts w:ascii="Arial" w:hAnsi="Arial" w:cs="Arial"/>
          <w:sz w:val="24"/>
          <w:szCs w:val="23"/>
          <w:highlight w:val="cyan"/>
        </w:rPr>
        <w:t xml:space="preserve"> único, Artículo 9°, Resolución IGAC 70 DE 2011).</w:t>
      </w:r>
    </w:p>
    <w:p w:rsidR="002964CE" w:rsidRPr="007920C1" w:rsidRDefault="002964CE" w:rsidP="00192B80">
      <w:pPr>
        <w:spacing w:before="320"/>
        <w:rPr>
          <w:rFonts w:ascii="Arial" w:hAnsi="Arial" w:cs="Arial"/>
          <w:b/>
          <w:sz w:val="28"/>
          <w:highlight w:val="green"/>
        </w:rPr>
      </w:pPr>
      <w:r w:rsidRPr="007920C1">
        <w:rPr>
          <w:rFonts w:ascii="Arial" w:hAnsi="Arial" w:cs="Arial"/>
          <w:b/>
          <w:sz w:val="28"/>
          <w:highlight w:val="green"/>
        </w:rPr>
        <w:t>PREDIO RURAL.</w:t>
      </w:r>
    </w:p>
    <w:p w:rsidR="002964CE" w:rsidRPr="00900F0E" w:rsidRDefault="002964CE"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 xml:space="preserve">Es el ubicado fuera </w:t>
      </w:r>
      <w:r w:rsidR="0065019A" w:rsidRPr="007920C1">
        <w:rPr>
          <w:rFonts w:ascii="Arial" w:hAnsi="Arial" w:cs="Arial"/>
          <w:sz w:val="24"/>
          <w:szCs w:val="23"/>
          <w:highlight w:val="green"/>
        </w:rPr>
        <w:t>de los perímetros urbanos y delimitados</w:t>
      </w:r>
      <w:r w:rsidRPr="007920C1">
        <w:rPr>
          <w:rFonts w:ascii="Arial" w:hAnsi="Arial" w:cs="Arial"/>
          <w:sz w:val="24"/>
          <w:szCs w:val="23"/>
          <w:highlight w:val="green"/>
        </w:rPr>
        <w:t xml:space="preserve"> en el Ordenamiento Territorial: cabecera, corregimientos y otros núcleos aprobados por el Plan de Ordenamiento Territorial. (Artículo 10°, Resolución IGAC 70 DE 2011).</w:t>
      </w:r>
    </w:p>
    <w:p w:rsidR="002964CE" w:rsidRPr="007920C1" w:rsidRDefault="002964CE" w:rsidP="00192B80">
      <w:pPr>
        <w:spacing w:before="320"/>
        <w:rPr>
          <w:rFonts w:ascii="Arial" w:hAnsi="Arial" w:cs="Arial"/>
          <w:b/>
          <w:sz w:val="28"/>
          <w:highlight w:val="cyan"/>
        </w:rPr>
      </w:pPr>
      <w:r w:rsidRPr="007920C1">
        <w:rPr>
          <w:rFonts w:ascii="Arial" w:hAnsi="Arial" w:cs="Arial"/>
          <w:b/>
          <w:sz w:val="28"/>
          <w:highlight w:val="cyan"/>
        </w:rPr>
        <w:t>PREDIO URBANO.</w:t>
      </w:r>
    </w:p>
    <w:p w:rsidR="002964CE" w:rsidRPr="00900F0E" w:rsidRDefault="002964CE" w:rsidP="002964CE">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cyan"/>
        </w:rPr>
        <w:t>Es el ubicado dentro del perímetro urbano, definido en el Ordenamiento Territorial del municipio. (Artículo 11°, Resolución IGAC 70 DE 2011).</w:t>
      </w:r>
    </w:p>
    <w:p w:rsidR="002964CE" w:rsidRPr="007920C1" w:rsidRDefault="00B52AA8" w:rsidP="00192B80">
      <w:pPr>
        <w:spacing w:before="320"/>
        <w:rPr>
          <w:rFonts w:ascii="Arial" w:hAnsi="Arial" w:cs="Arial"/>
          <w:b/>
          <w:sz w:val="28"/>
          <w:highlight w:val="green"/>
        </w:rPr>
      </w:pPr>
      <w:r w:rsidRPr="007920C1">
        <w:rPr>
          <w:rFonts w:ascii="Arial" w:hAnsi="Arial" w:cs="Arial"/>
          <w:b/>
          <w:sz w:val="28"/>
          <w:highlight w:val="green"/>
        </w:rPr>
        <w:t>URBANIZACIÓ</w:t>
      </w:r>
      <w:r w:rsidR="002964CE" w:rsidRPr="007920C1">
        <w:rPr>
          <w:rFonts w:ascii="Arial" w:hAnsi="Arial" w:cs="Arial"/>
          <w:b/>
          <w:sz w:val="28"/>
          <w:highlight w:val="green"/>
        </w:rPr>
        <w:t>N</w:t>
      </w:r>
    </w:p>
    <w:p w:rsidR="002964CE" w:rsidRPr="00900F0E" w:rsidRDefault="002964CE"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Se entiende por urbanización el fraccionamiento del inmueble o conjunto de inmuebles en suelos urbanos o de expansión urbana, pertenecientes a una o varias personas jurídicas o naturales, autorizada según las normas y reglamentos. (Artículo 15°, Resolución IGAC 70 DE 2011).</w:t>
      </w:r>
    </w:p>
    <w:p w:rsidR="002964CE" w:rsidRPr="007920C1" w:rsidRDefault="00B52AA8" w:rsidP="00192B80">
      <w:pPr>
        <w:spacing w:before="320"/>
        <w:rPr>
          <w:rFonts w:ascii="Arial" w:hAnsi="Arial" w:cs="Arial"/>
          <w:b/>
          <w:sz w:val="28"/>
          <w:highlight w:val="cyan"/>
        </w:rPr>
      </w:pPr>
      <w:r w:rsidRPr="007920C1">
        <w:rPr>
          <w:rFonts w:ascii="Arial" w:hAnsi="Arial" w:cs="Arial"/>
          <w:b/>
          <w:sz w:val="28"/>
          <w:highlight w:val="cyan"/>
        </w:rPr>
        <w:t>PARCELACIÓ</w:t>
      </w:r>
      <w:r w:rsidR="002964CE" w:rsidRPr="007920C1">
        <w:rPr>
          <w:rFonts w:ascii="Arial" w:hAnsi="Arial" w:cs="Arial"/>
          <w:b/>
          <w:sz w:val="28"/>
          <w:highlight w:val="cyan"/>
        </w:rPr>
        <w:t>N</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cyan"/>
        </w:rPr>
        <w:t xml:space="preserve">Se entiende por parcelación, el fraccionamiento del inmueble o conjunto de inmuebles rurales pertenecientes a una o varias personas jurídicas o naturales, autorizada según las normas y </w:t>
      </w:r>
      <w:r w:rsidR="00CC4864" w:rsidRPr="007920C1">
        <w:rPr>
          <w:rFonts w:ascii="Arial" w:hAnsi="Arial" w:cs="Arial"/>
          <w:sz w:val="24"/>
          <w:szCs w:val="23"/>
          <w:highlight w:val="cyan"/>
        </w:rPr>
        <w:t xml:space="preserve">reglamentos. </w:t>
      </w:r>
      <w:r w:rsidR="002964CE" w:rsidRPr="007920C1">
        <w:rPr>
          <w:rFonts w:ascii="Arial" w:hAnsi="Arial" w:cs="Arial"/>
          <w:sz w:val="24"/>
          <w:szCs w:val="23"/>
          <w:highlight w:val="cyan"/>
        </w:rPr>
        <w:t>(Artículo 1</w:t>
      </w:r>
      <w:r w:rsidRPr="007920C1">
        <w:rPr>
          <w:rFonts w:ascii="Arial" w:hAnsi="Arial" w:cs="Arial"/>
          <w:sz w:val="24"/>
          <w:szCs w:val="23"/>
          <w:highlight w:val="cyan"/>
        </w:rPr>
        <w:t>6</w:t>
      </w:r>
      <w:r w:rsidR="002964CE" w:rsidRPr="007920C1">
        <w:rPr>
          <w:rFonts w:ascii="Arial" w:hAnsi="Arial" w:cs="Arial"/>
          <w:sz w:val="24"/>
          <w:szCs w:val="23"/>
          <w:highlight w:val="cyan"/>
        </w:rPr>
        <w:t>°, Resolución IGAC 70 DE 2011).</w:t>
      </w:r>
    </w:p>
    <w:p w:rsidR="002964CE" w:rsidRPr="007920C1" w:rsidRDefault="002964CE" w:rsidP="00192B80">
      <w:pPr>
        <w:spacing w:before="320"/>
        <w:rPr>
          <w:rFonts w:ascii="Arial" w:hAnsi="Arial" w:cs="Arial"/>
          <w:b/>
          <w:sz w:val="28"/>
          <w:highlight w:val="green"/>
        </w:rPr>
      </w:pPr>
      <w:r w:rsidRPr="007920C1">
        <w:rPr>
          <w:rFonts w:ascii="Arial" w:hAnsi="Arial" w:cs="Arial"/>
          <w:b/>
          <w:sz w:val="28"/>
          <w:highlight w:val="green"/>
        </w:rPr>
        <w:t>PROPIEDAD HORIZONTAL</w:t>
      </w:r>
    </w:p>
    <w:p w:rsidR="001744C8" w:rsidRDefault="001744C8" w:rsidP="001744C8">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Forma especial de dominio en la que concurren derechos de propiedad exclusiva sobre bienes privados y derechos de copropiedad sobre el terreno y los demás bienes comunes. (Artículo 17°, Resolución IGAC 70 DE 2011).</w:t>
      </w:r>
    </w:p>
    <w:p w:rsidR="00CC4864" w:rsidRPr="00900F0E" w:rsidRDefault="00CC4864" w:rsidP="001744C8">
      <w:pPr>
        <w:widowControl w:val="0"/>
        <w:autoSpaceDE w:val="0"/>
        <w:autoSpaceDN w:val="0"/>
        <w:adjustRightInd w:val="0"/>
        <w:spacing w:after="0" w:line="243" w:lineRule="auto"/>
        <w:ind w:right="69"/>
        <w:jc w:val="both"/>
        <w:rPr>
          <w:rFonts w:ascii="Arial" w:hAnsi="Arial" w:cs="Arial"/>
          <w:sz w:val="24"/>
          <w:szCs w:val="23"/>
        </w:rPr>
      </w:pPr>
    </w:p>
    <w:p w:rsidR="001744C8" w:rsidRPr="007920C1" w:rsidRDefault="001744C8" w:rsidP="00192B80">
      <w:pPr>
        <w:spacing w:before="320"/>
        <w:rPr>
          <w:rFonts w:ascii="Arial" w:hAnsi="Arial" w:cs="Arial"/>
          <w:b/>
          <w:sz w:val="28"/>
          <w:highlight w:val="cyan"/>
        </w:rPr>
      </w:pPr>
      <w:r w:rsidRPr="007920C1">
        <w:rPr>
          <w:rFonts w:ascii="Arial" w:hAnsi="Arial" w:cs="Arial"/>
          <w:b/>
          <w:sz w:val="28"/>
          <w:highlight w:val="cyan"/>
        </w:rPr>
        <w:lastRenderedPageBreak/>
        <w:t>REGIMEN DE PROPIEDAD HORIZONTAL.</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cyan"/>
        </w:rPr>
        <w:t xml:space="preserve">Sistema jurídico que regula el sometimiento a propiedad horizontal de un edificio o conjunto, construido o por construirse.  </w:t>
      </w:r>
      <w:r w:rsidR="002964CE" w:rsidRPr="007920C1">
        <w:rPr>
          <w:rFonts w:ascii="Arial" w:hAnsi="Arial" w:cs="Arial"/>
          <w:sz w:val="24"/>
          <w:szCs w:val="23"/>
          <w:highlight w:val="cyan"/>
        </w:rPr>
        <w:t>(Artículo 1</w:t>
      </w:r>
      <w:r w:rsidRPr="007920C1">
        <w:rPr>
          <w:rFonts w:ascii="Arial" w:hAnsi="Arial" w:cs="Arial"/>
          <w:sz w:val="24"/>
          <w:szCs w:val="23"/>
          <w:highlight w:val="cyan"/>
        </w:rPr>
        <w:t>7</w:t>
      </w:r>
      <w:r w:rsidR="002964CE" w:rsidRPr="007920C1">
        <w:rPr>
          <w:rFonts w:ascii="Arial" w:hAnsi="Arial" w:cs="Arial"/>
          <w:sz w:val="24"/>
          <w:szCs w:val="23"/>
          <w:highlight w:val="cyan"/>
        </w:rPr>
        <w:t>°, Resolución IGAC 70 DE 2011).</w:t>
      </w:r>
    </w:p>
    <w:p w:rsidR="002964CE" w:rsidRPr="007920C1" w:rsidRDefault="002964CE" w:rsidP="00192B80">
      <w:pPr>
        <w:spacing w:before="320"/>
        <w:rPr>
          <w:rFonts w:ascii="Arial" w:hAnsi="Arial" w:cs="Arial"/>
          <w:b/>
          <w:sz w:val="28"/>
          <w:highlight w:val="green"/>
        </w:rPr>
      </w:pPr>
      <w:r w:rsidRPr="007920C1">
        <w:rPr>
          <w:rFonts w:ascii="Arial" w:hAnsi="Arial" w:cs="Arial"/>
          <w:b/>
          <w:sz w:val="28"/>
          <w:highlight w:val="green"/>
        </w:rPr>
        <w:t>EDIFICIO</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 xml:space="preserve">Construcción de uno o varios pisos levantados sobre un lote o terreno, cuya estructura comprende un número plural de unidades independientes, aptas para ser usadas de acuerdo con su destino natural o convencional, además de áreas y servicios de uso y utilidad general. </w:t>
      </w:r>
      <w:r w:rsidR="002964CE" w:rsidRPr="007920C1">
        <w:rPr>
          <w:rFonts w:ascii="Arial" w:hAnsi="Arial" w:cs="Arial"/>
          <w:sz w:val="24"/>
          <w:szCs w:val="23"/>
          <w:highlight w:val="green"/>
        </w:rPr>
        <w:t>(Artículo 1</w:t>
      </w:r>
      <w:r w:rsidRPr="007920C1">
        <w:rPr>
          <w:rFonts w:ascii="Arial" w:hAnsi="Arial" w:cs="Arial"/>
          <w:sz w:val="24"/>
          <w:szCs w:val="23"/>
          <w:highlight w:val="green"/>
        </w:rPr>
        <w:t>7</w:t>
      </w:r>
      <w:r w:rsidR="002964CE" w:rsidRPr="007920C1">
        <w:rPr>
          <w:rFonts w:ascii="Arial" w:hAnsi="Arial" w:cs="Arial"/>
          <w:sz w:val="24"/>
          <w:szCs w:val="23"/>
          <w:highlight w:val="green"/>
        </w:rPr>
        <w:t>°, Resolución IGAC 70 DE 2011).</w:t>
      </w:r>
    </w:p>
    <w:p w:rsidR="002964CE" w:rsidRPr="007920C1" w:rsidRDefault="002964CE" w:rsidP="00192B80">
      <w:pPr>
        <w:spacing w:before="320"/>
        <w:rPr>
          <w:rFonts w:ascii="Arial" w:hAnsi="Arial" w:cs="Arial"/>
          <w:b/>
          <w:sz w:val="28"/>
          <w:highlight w:val="cyan"/>
        </w:rPr>
      </w:pPr>
      <w:r w:rsidRPr="007920C1">
        <w:rPr>
          <w:rFonts w:ascii="Arial" w:hAnsi="Arial" w:cs="Arial"/>
          <w:b/>
          <w:sz w:val="28"/>
          <w:highlight w:val="cyan"/>
        </w:rPr>
        <w:t>CONJUNTO</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cyan"/>
        </w:rPr>
        <w:t xml:space="preserve">Desarrollo inmobiliario conformado por varios edificios levantados sobre uno o varios lotes de terreno, que comparten, áreas y servicios de uso y utilidad general, como vías internas, estacionamientos, zonas verdes, muros de cerramiento, porterías, entre otros. Puede conformarse también por varias unidades de vivienda, comercio o industria, estructuralmente </w:t>
      </w:r>
      <w:r w:rsidR="009B0F35" w:rsidRPr="007920C1">
        <w:rPr>
          <w:rFonts w:ascii="Arial" w:hAnsi="Arial" w:cs="Arial"/>
          <w:sz w:val="24"/>
          <w:szCs w:val="23"/>
          <w:highlight w:val="cyan"/>
        </w:rPr>
        <w:t xml:space="preserve">independientes. </w:t>
      </w:r>
      <w:r w:rsidR="002964CE" w:rsidRPr="007920C1">
        <w:rPr>
          <w:rFonts w:ascii="Arial" w:hAnsi="Arial" w:cs="Arial"/>
          <w:sz w:val="24"/>
          <w:szCs w:val="23"/>
          <w:highlight w:val="cyan"/>
        </w:rPr>
        <w:t>(Artículo 1</w:t>
      </w:r>
      <w:r w:rsidRPr="007920C1">
        <w:rPr>
          <w:rFonts w:ascii="Arial" w:hAnsi="Arial" w:cs="Arial"/>
          <w:sz w:val="24"/>
          <w:szCs w:val="23"/>
          <w:highlight w:val="cyan"/>
        </w:rPr>
        <w:t>7</w:t>
      </w:r>
      <w:r w:rsidR="002964CE" w:rsidRPr="007920C1">
        <w:rPr>
          <w:rFonts w:ascii="Arial" w:hAnsi="Arial" w:cs="Arial"/>
          <w:sz w:val="24"/>
          <w:szCs w:val="23"/>
          <w:highlight w:val="cyan"/>
        </w:rPr>
        <w:t>°, Resolución IGAC 70 DE 2011).</w:t>
      </w:r>
    </w:p>
    <w:p w:rsidR="002964CE" w:rsidRPr="007920C1" w:rsidRDefault="002964CE" w:rsidP="00192B80">
      <w:pPr>
        <w:spacing w:before="320"/>
        <w:rPr>
          <w:rFonts w:ascii="Arial" w:hAnsi="Arial" w:cs="Arial"/>
          <w:b/>
          <w:sz w:val="28"/>
          <w:highlight w:val="green"/>
        </w:rPr>
      </w:pPr>
      <w:r w:rsidRPr="007920C1">
        <w:rPr>
          <w:rFonts w:ascii="Arial" w:hAnsi="Arial" w:cs="Arial"/>
          <w:b/>
          <w:sz w:val="28"/>
          <w:highlight w:val="green"/>
        </w:rPr>
        <w:t>CONDOMINIO</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 xml:space="preserve">Propiedad horizontal en cuyo reglamento se define para cada unidad predial un área privada de terreno, adicional a la participación en el terreno común, según el coeficiente allí determinado. </w:t>
      </w:r>
      <w:r w:rsidR="002964CE" w:rsidRPr="007920C1">
        <w:rPr>
          <w:rFonts w:ascii="Arial" w:hAnsi="Arial" w:cs="Arial"/>
          <w:sz w:val="24"/>
          <w:szCs w:val="23"/>
          <w:highlight w:val="green"/>
        </w:rPr>
        <w:t>(Artículo 1</w:t>
      </w:r>
      <w:r w:rsidRPr="007920C1">
        <w:rPr>
          <w:rFonts w:ascii="Arial" w:hAnsi="Arial" w:cs="Arial"/>
          <w:sz w:val="24"/>
          <w:szCs w:val="23"/>
          <w:highlight w:val="green"/>
        </w:rPr>
        <w:t>7</w:t>
      </w:r>
      <w:r w:rsidR="002964CE" w:rsidRPr="007920C1">
        <w:rPr>
          <w:rFonts w:ascii="Arial" w:hAnsi="Arial" w:cs="Arial"/>
          <w:sz w:val="24"/>
          <w:szCs w:val="23"/>
          <w:highlight w:val="green"/>
        </w:rPr>
        <w:t>°, Resolución IGAC 70 DE 2011).</w:t>
      </w:r>
    </w:p>
    <w:p w:rsidR="002964CE" w:rsidRPr="007920C1" w:rsidRDefault="002964CE" w:rsidP="00192B80">
      <w:pPr>
        <w:spacing w:before="320"/>
        <w:rPr>
          <w:rFonts w:ascii="Arial" w:hAnsi="Arial" w:cs="Arial"/>
          <w:b/>
          <w:sz w:val="28"/>
          <w:highlight w:val="cyan"/>
        </w:rPr>
      </w:pPr>
      <w:r w:rsidRPr="007920C1">
        <w:rPr>
          <w:rFonts w:ascii="Arial" w:hAnsi="Arial" w:cs="Arial"/>
          <w:b/>
          <w:sz w:val="28"/>
          <w:highlight w:val="cyan"/>
        </w:rPr>
        <w:t>MEJORA POR CONSTRUCCIONES Y/O EDIFICACIONES EN PREDIO AJENO</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cyan"/>
        </w:rPr>
        <w:t>Es la construcción o edificación instalada por una persona natural o jurí</w:t>
      </w:r>
      <w:r w:rsidR="00A93E64" w:rsidRPr="007920C1">
        <w:rPr>
          <w:rFonts w:ascii="Arial" w:hAnsi="Arial" w:cs="Arial"/>
          <w:sz w:val="24"/>
          <w:szCs w:val="23"/>
          <w:highlight w:val="cyan"/>
        </w:rPr>
        <w:t>dica sobre un predio que no le p</w:t>
      </w:r>
      <w:r w:rsidRPr="007920C1">
        <w:rPr>
          <w:rFonts w:ascii="Arial" w:hAnsi="Arial" w:cs="Arial"/>
          <w:sz w:val="24"/>
          <w:szCs w:val="23"/>
          <w:highlight w:val="cyan"/>
        </w:rPr>
        <w:t xml:space="preserve">ertenece. </w:t>
      </w:r>
      <w:r w:rsidR="002964CE" w:rsidRPr="007920C1">
        <w:rPr>
          <w:rFonts w:ascii="Arial" w:hAnsi="Arial" w:cs="Arial"/>
          <w:sz w:val="24"/>
          <w:szCs w:val="23"/>
          <w:highlight w:val="cyan"/>
        </w:rPr>
        <w:t xml:space="preserve">(Artículo </w:t>
      </w:r>
      <w:r w:rsidRPr="007920C1">
        <w:rPr>
          <w:rFonts w:ascii="Arial" w:hAnsi="Arial" w:cs="Arial"/>
          <w:sz w:val="24"/>
          <w:szCs w:val="23"/>
          <w:highlight w:val="cyan"/>
        </w:rPr>
        <w:t>20</w:t>
      </w:r>
      <w:r w:rsidR="002964CE" w:rsidRPr="007920C1">
        <w:rPr>
          <w:rFonts w:ascii="Arial" w:hAnsi="Arial" w:cs="Arial"/>
          <w:sz w:val="24"/>
          <w:szCs w:val="23"/>
          <w:highlight w:val="cyan"/>
        </w:rPr>
        <w:t>°, Resolución IGAC 70 DE 2011).</w:t>
      </w:r>
    </w:p>
    <w:p w:rsidR="002964CE" w:rsidRPr="007920C1" w:rsidRDefault="00B52AA8" w:rsidP="00192B80">
      <w:pPr>
        <w:spacing w:before="320"/>
        <w:rPr>
          <w:rFonts w:ascii="Arial" w:hAnsi="Arial" w:cs="Arial"/>
          <w:b/>
          <w:sz w:val="28"/>
          <w:highlight w:val="green"/>
        </w:rPr>
      </w:pPr>
      <w:r w:rsidRPr="007920C1">
        <w:rPr>
          <w:rFonts w:ascii="Arial" w:hAnsi="Arial" w:cs="Arial"/>
          <w:b/>
          <w:sz w:val="28"/>
          <w:highlight w:val="green"/>
        </w:rPr>
        <w:t>CONSTRUCCIÓN O EDIFICACIÓ</w:t>
      </w:r>
      <w:r w:rsidR="002964CE" w:rsidRPr="007920C1">
        <w:rPr>
          <w:rFonts w:ascii="Arial" w:hAnsi="Arial" w:cs="Arial"/>
          <w:b/>
          <w:sz w:val="28"/>
          <w:highlight w:val="green"/>
        </w:rPr>
        <w:t>N</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lang w:val="es-ES"/>
        </w:rPr>
      </w:pPr>
      <w:r w:rsidRPr="007920C1">
        <w:rPr>
          <w:rFonts w:ascii="Arial" w:hAnsi="Arial" w:cs="Arial"/>
          <w:sz w:val="24"/>
          <w:highlight w:val="green"/>
          <w:lang w:val="es-ES"/>
        </w:rPr>
        <w:t xml:space="preserve">Es la unión de materiales adheridos al terreno, con carácter de permanente, cualesquiera sean los elementos que la constituyan. </w:t>
      </w:r>
      <w:r w:rsidR="002964CE" w:rsidRPr="007920C1">
        <w:rPr>
          <w:rFonts w:ascii="Arial" w:hAnsi="Arial" w:cs="Arial"/>
          <w:sz w:val="24"/>
          <w:highlight w:val="green"/>
          <w:lang w:val="es-ES"/>
        </w:rPr>
        <w:t xml:space="preserve">(Artículo </w:t>
      </w:r>
      <w:r w:rsidRPr="007920C1">
        <w:rPr>
          <w:rFonts w:ascii="Arial" w:hAnsi="Arial" w:cs="Arial"/>
          <w:sz w:val="24"/>
          <w:highlight w:val="green"/>
          <w:lang w:val="es-ES"/>
        </w:rPr>
        <w:t>2</w:t>
      </w:r>
      <w:r w:rsidR="002964CE" w:rsidRPr="007920C1">
        <w:rPr>
          <w:rFonts w:ascii="Arial" w:hAnsi="Arial" w:cs="Arial"/>
          <w:sz w:val="24"/>
          <w:highlight w:val="green"/>
          <w:lang w:val="es-ES"/>
        </w:rPr>
        <w:t>1°, Resolución IGAC 70 DE 2011).</w:t>
      </w:r>
    </w:p>
    <w:p w:rsidR="002964CE" w:rsidRPr="007920C1" w:rsidRDefault="002964CE" w:rsidP="00192B80">
      <w:pPr>
        <w:spacing w:before="320"/>
        <w:rPr>
          <w:rFonts w:ascii="Arial" w:hAnsi="Arial" w:cs="Arial"/>
          <w:b/>
          <w:sz w:val="28"/>
          <w:highlight w:val="cyan"/>
        </w:rPr>
      </w:pPr>
      <w:r w:rsidRPr="007920C1">
        <w:rPr>
          <w:rFonts w:ascii="Arial" w:hAnsi="Arial" w:cs="Arial"/>
          <w:b/>
          <w:sz w:val="28"/>
          <w:highlight w:val="cyan"/>
        </w:rPr>
        <w:t>TERRENO</w:t>
      </w:r>
    </w:p>
    <w:p w:rsidR="002964CE" w:rsidRDefault="001744C8" w:rsidP="00BE275A">
      <w:pPr>
        <w:widowControl w:val="0"/>
        <w:autoSpaceDE w:val="0"/>
        <w:autoSpaceDN w:val="0"/>
        <w:adjustRightInd w:val="0"/>
        <w:spacing w:after="0" w:line="243" w:lineRule="auto"/>
        <w:ind w:right="69"/>
        <w:jc w:val="both"/>
        <w:rPr>
          <w:rFonts w:ascii="Arial" w:hAnsi="Arial" w:cs="Arial"/>
          <w:sz w:val="24"/>
          <w:lang w:val="es-ES"/>
        </w:rPr>
      </w:pPr>
      <w:r w:rsidRPr="007920C1">
        <w:rPr>
          <w:rFonts w:ascii="Arial" w:hAnsi="Arial" w:cs="Arial"/>
          <w:sz w:val="24"/>
          <w:highlight w:val="cyan"/>
          <w:lang w:val="es-ES"/>
        </w:rPr>
        <w:t xml:space="preserve">Es la porción de tierra con una extensión geográfica definida. </w:t>
      </w:r>
      <w:r w:rsidR="002964CE" w:rsidRPr="007920C1">
        <w:rPr>
          <w:rFonts w:ascii="Arial" w:hAnsi="Arial" w:cs="Arial"/>
          <w:sz w:val="24"/>
          <w:highlight w:val="cyan"/>
          <w:lang w:val="es-ES"/>
        </w:rPr>
        <w:t xml:space="preserve">(Artículo </w:t>
      </w:r>
      <w:r w:rsidRPr="007920C1">
        <w:rPr>
          <w:rFonts w:ascii="Arial" w:hAnsi="Arial" w:cs="Arial"/>
          <w:sz w:val="24"/>
          <w:highlight w:val="cyan"/>
          <w:lang w:val="es-ES"/>
        </w:rPr>
        <w:t>22</w:t>
      </w:r>
      <w:r w:rsidR="002964CE" w:rsidRPr="007920C1">
        <w:rPr>
          <w:rFonts w:ascii="Arial" w:hAnsi="Arial" w:cs="Arial"/>
          <w:sz w:val="24"/>
          <w:highlight w:val="cyan"/>
          <w:lang w:val="es-ES"/>
        </w:rPr>
        <w:t>°, Resolución IGAC 70 DE 2011).</w:t>
      </w:r>
    </w:p>
    <w:p w:rsidR="00CC4864" w:rsidRDefault="00CC4864" w:rsidP="00BE275A">
      <w:pPr>
        <w:widowControl w:val="0"/>
        <w:autoSpaceDE w:val="0"/>
        <w:autoSpaceDN w:val="0"/>
        <w:adjustRightInd w:val="0"/>
        <w:spacing w:after="0" w:line="243" w:lineRule="auto"/>
        <w:ind w:right="69"/>
        <w:jc w:val="both"/>
        <w:rPr>
          <w:rFonts w:ascii="Arial" w:hAnsi="Arial" w:cs="Arial"/>
          <w:sz w:val="24"/>
          <w:lang w:val="es-ES"/>
        </w:rPr>
      </w:pPr>
    </w:p>
    <w:p w:rsidR="00CC4864" w:rsidRPr="00CE023D" w:rsidRDefault="00CC4864" w:rsidP="00BE275A">
      <w:pPr>
        <w:widowControl w:val="0"/>
        <w:autoSpaceDE w:val="0"/>
        <w:autoSpaceDN w:val="0"/>
        <w:adjustRightInd w:val="0"/>
        <w:spacing w:after="0" w:line="243" w:lineRule="auto"/>
        <w:ind w:right="69"/>
        <w:jc w:val="both"/>
        <w:rPr>
          <w:rFonts w:ascii="Arial" w:hAnsi="Arial" w:cs="Arial"/>
          <w:sz w:val="24"/>
          <w:lang w:val="es-ES"/>
        </w:rPr>
      </w:pPr>
    </w:p>
    <w:p w:rsidR="002964CE" w:rsidRPr="007920C1" w:rsidRDefault="002964CE" w:rsidP="00192B80">
      <w:pPr>
        <w:spacing w:before="320"/>
        <w:rPr>
          <w:rFonts w:ascii="Arial" w:hAnsi="Arial" w:cs="Arial"/>
          <w:b/>
          <w:sz w:val="28"/>
          <w:highlight w:val="green"/>
        </w:rPr>
      </w:pPr>
      <w:r w:rsidRPr="007920C1">
        <w:rPr>
          <w:rFonts w:ascii="Arial" w:hAnsi="Arial" w:cs="Arial"/>
          <w:b/>
          <w:sz w:val="28"/>
          <w:highlight w:val="green"/>
        </w:rPr>
        <w:lastRenderedPageBreak/>
        <w:t>NORMA DE USO DEL SUELO</w:t>
      </w:r>
    </w:p>
    <w:p w:rsidR="002964CE" w:rsidRPr="00900F0E" w:rsidRDefault="001744C8" w:rsidP="00BE275A">
      <w:pPr>
        <w:widowControl w:val="0"/>
        <w:autoSpaceDE w:val="0"/>
        <w:autoSpaceDN w:val="0"/>
        <w:adjustRightInd w:val="0"/>
        <w:spacing w:after="0" w:line="243" w:lineRule="auto"/>
        <w:ind w:right="69"/>
        <w:jc w:val="both"/>
        <w:rPr>
          <w:rFonts w:ascii="Arial" w:hAnsi="Arial" w:cs="Arial"/>
          <w:sz w:val="24"/>
          <w:szCs w:val="23"/>
        </w:rPr>
      </w:pPr>
      <w:r w:rsidRPr="007920C1">
        <w:rPr>
          <w:rFonts w:ascii="Arial" w:hAnsi="Arial" w:cs="Arial"/>
          <w:sz w:val="24"/>
          <w:szCs w:val="23"/>
          <w:highlight w:val="green"/>
        </w:rPr>
        <w:t xml:space="preserve">Es la indicación normativa sobre la actividad que se puede desarrollar en un determinado espacio geográfico de conformidad con lo planificado y reglamentado por la respectiva autoridad de la unidad orgánica catastral. Se constituye en una variable del estudio de zonas homogéneas físicas para la determinación de valores unitarios del terreno. </w:t>
      </w:r>
      <w:r w:rsidR="002964CE" w:rsidRPr="007920C1">
        <w:rPr>
          <w:rFonts w:ascii="Arial" w:hAnsi="Arial" w:cs="Arial"/>
          <w:sz w:val="24"/>
          <w:szCs w:val="23"/>
          <w:highlight w:val="green"/>
        </w:rPr>
        <w:t>(Artículo 45°, Resolución IGAC 70 DE 2011).</w:t>
      </w:r>
    </w:p>
    <w:p w:rsidR="001744C8" w:rsidRPr="00BD0D39" w:rsidRDefault="001744C8" w:rsidP="00192B80">
      <w:pPr>
        <w:spacing w:before="320"/>
        <w:rPr>
          <w:rFonts w:ascii="Arial" w:hAnsi="Arial" w:cs="Arial"/>
          <w:b/>
          <w:sz w:val="28"/>
          <w:highlight w:val="cyan"/>
        </w:rPr>
      </w:pPr>
      <w:r w:rsidRPr="00BD0D39">
        <w:rPr>
          <w:rFonts w:ascii="Arial" w:hAnsi="Arial" w:cs="Arial"/>
          <w:b/>
          <w:sz w:val="28"/>
          <w:highlight w:val="cyan"/>
        </w:rPr>
        <w:t>TIPOLOGIA DE LAS CONSTRUCCIONES Y/O EDIFICACIONES.</w:t>
      </w:r>
    </w:p>
    <w:p w:rsidR="001744C8" w:rsidRPr="00900F0E" w:rsidRDefault="001744C8" w:rsidP="001744C8">
      <w:pPr>
        <w:widowControl w:val="0"/>
        <w:autoSpaceDE w:val="0"/>
        <w:autoSpaceDN w:val="0"/>
        <w:adjustRightInd w:val="0"/>
        <w:spacing w:after="0" w:line="243" w:lineRule="auto"/>
        <w:ind w:right="69"/>
        <w:jc w:val="both"/>
        <w:rPr>
          <w:rFonts w:ascii="Arial" w:hAnsi="Arial" w:cs="Arial"/>
          <w:sz w:val="24"/>
          <w:szCs w:val="23"/>
        </w:rPr>
      </w:pPr>
      <w:r w:rsidRPr="00BD0D39">
        <w:rPr>
          <w:rFonts w:ascii="Arial" w:hAnsi="Arial" w:cs="Arial"/>
          <w:sz w:val="24"/>
          <w:szCs w:val="23"/>
          <w:highlight w:val="cyan"/>
        </w:rPr>
        <w:t>Son las características de diseño y constructivas especiales de las construcciones y/o edificaciones. (Artículo 47°, Resolución IGAC 70 DE 2011).</w:t>
      </w:r>
    </w:p>
    <w:p w:rsidR="00B974D0" w:rsidRPr="00BD0D39" w:rsidRDefault="00B974D0" w:rsidP="001010CA">
      <w:pPr>
        <w:spacing w:before="320"/>
        <w:rPr>
          <w:rFonts w:ascii="Arial" w:hAnsi="Arial" w:cs="Arial"/>
          <w:b/>
          <w:sz w:val="28"/>
          <w:highlight w:val="green"/>
        </w:rPr>
      </w:pPr>
      <w:r w:rsidRPr="00BD0D39">
        <w:rPr>
          <w:rFonts w:ascii="Arial" w:hAnsi="Arial" w:cs="Arial"/>
          <w:b/>
          <w:sz w:val="28"/>
          <w:highlight w:val="green"/>
        </w:rPr>
        <w:t>AREA BRUTA</w:t>
      </w:r>
    </w:p>
    <w:p w:rsidR="00297200" w:rsidRPr="00900F0E" w:rsidRDefault="00297200" w:rsidP="00BE275A">
      <w:pPr>
        <w:widowControl w:val="0"/>
        <w:autoSpaceDE w:val="0"/>
        <w:autoSpaceDN w:val="0"/>
        <w:adjustRightInd w:val="0"/>
        <w:spacing w:after="0" w:line="243" w:lineRule="auto"/>
        <w:ind w:right="69"/>
        <w:jc w:val="both"/>
        <w:rPr>
          <w:rFonts w:ascii="Arial" w:hAnsi="Arial" w:cs="Arial"/>
          <w:sz w:val="24"/>
          <w:szCs w:val="23"/>
        </w:rPr>
      </w:pPr>
      <w:r w:rsidRPr="00BD0D39">
        <w:rPr>
          <w:rFonts w:ascii="Arial" w:hAnsi="Arial" w:cs="Arial"/>
          <w:sz w:val="24"/>
          <w:szCs w:val="23"/>
          <w:highlight w:val="green"/>
        </w:rPr>
        <w:t xml:space="preserve">Es el área total del predio o predios objeto de la licencia de urbanización o sujetos a plan parcial. (Artículo 1° </w:t>
      </w:r>
      <w:r w:rsidR="008849AE" w:rsidRPr="00BD0D39">
        <w:rPr>
          <w:rFonts w:ascii="Arial" w:hAnsi="Arial" w:cs="Arial"/>
          <w:sz w:val="24"/>
          <w:szCs w:val="23"/>
          <w:highlight w:val="green"/>
        </w:rPr>
        <w:t>Decreto</w:t>
      </w:r>
      <w:r w:rsidRPr="00BD0D39">
        <w:rPr>
          <w:rFonts w:ascii="Arial" w:hAnsi="Arial" w:cs="Arial"/>
          <w:sz w:val="24"/>
          <w:szCs w:val="23"/>
          <w:highlight w:val="green"/>
        </w:rPr>
        <w:t xml:space="preserve"> 4259 de 2007)</w:t>
      </w:r>
    </w:p>
    <w:p w:rsidR="00297200" w:rsidRPr="00BD0D39" w:rsidRDefault="00297200" w:rsidP="001010CA">
      <w:pPr>
        <w:spacing w:before="320"/>
        <w:rPr>
          <w:rFonts w:ascii="Arial" w:hAnsi="Arial" w:cs="Arial"/>
          <w:b/>
          <w:sz w:val="28"/>
          <w:highlight w:val="cyan"/>
        </w:rPr>
      </w:pPr>
      <w:r w:rsidRPr="00BD0D39">
        <w:rPr>
          <w:rFonts w:ascii="Arial" w:hAnsi="Arial" w:cs="Arial"/>
          <w:b/>
          <w:sz w:val="28"/>
          <w:highlight w:val="cyan"/>
        </w:rPr>
        <w:t>AREA NETA URBANIZABLE.</w:t>
      </w:r>
    </w:p>
    <w:p w:rsidR="00297200" w:rsidRPr="00900F0E" w:rsidRDefault="00297200" w:rsidP="00BE275A">
      <w:pPr>
        <w:widowControl w:val="0"/>
        <w:autoSpaceDE w:val="0"/>
        <w:autoSpaceDN w:val="0"/>
        <w:adjustRightInd w:val="0"/>
        <w:spacing w:after="0" w:line="243" w:lineRule="auto"/>
        <w:ind w:right="69"/>
        <w:jc w:val="both"/>
        <w:rPr>
          <w:rFonts w:ascii="Arial" w:hAnsi="Arial" w:cs="Arial"/>
          <w:sz w:val="24"/>
          <w:szCs w:val="23"/>
        </w:rPr>
      </w:pPr>
      <w:r w:rsidRPr="00BD0D39">
        <w:rPr>
          <w:rFonts w:ascii="Arial" w:hAnsi="Arial" w:cs="Arial"/>
          <w:sz w:val="24"/>
          <w:szCs w:val="23"/>
          <w:highlight w:val="cyan"/>
        </w:rPr>
        <w:t xml:space="preserve">Es el área resultante de descontar del área bruta, las áreas para la localización de la infraestructura para el sistema vial principal y de transporte, las redes primarias de servicios públicos y las áreas de conservación y protección de los recursos naturales y paisajísticos. (Artículo 1° </w:t>
      </w:r>
      <w:r w:rsidR="008849AE" w:rsidRPr="00BD0D39">
        <w:rPr>
          <w:rFonts w:ascii="Arial" w:hAnsi="Arial" w:cs="Arial"/>
          <w:sz w:val="24"/>
          <w:szCs w:val="23"/>
          <w:highlight w:val="cyan"/>
        </w:rPr>
        <w:t>Decreto</w:t>
      </w:r>
      <w:r w:rsidRPr="00BD0D39">
        <w:rPr>
          <w:rFonts w:ascii="Arial" w:hAnsi="Arial" w:cs="Arial"/>
          <w:sz w:val="24"/>
          <w:szCs w:val="23"/>
          <w:highlight w:val="cyan"/>
        </w:rPr>
        <w:t xml:space="preserve"> 4259 de 2007)</w:t>
      </w:r>
      <w:r w:rsidR="007B2228" w:rsidRPr="00BD0D39">
        <w:rPr>
          <w:rFonts w:ascii="Arial" w:hAnsi="Arial" w:cs="Arial"/>
          <w:sz w:val="24"/>
          <w:szCs w:val="23"/>
          <w:highlight w:val="cyan"/>
        </w:rPr>
        <w:t>.</w:t>
      </w:r>
    </w:p>
    <w:p w:rsidR="007B2228" w:rsidRPr="00BD0D39" w:rsidRDefault="007B2228" w:rsidP="007B2228">
      <w:pPr>
        <w:spacing w:before="320"/>
        <w:rPr>
          <w:rFonts w:ascii="Arial" w:hAnsi="Arial" w:cs="Arial"/>
          <w:b/>
          <w:sz w:val="28"/>
          <w:highlight w:val="green"/>
        </w:rPr>
      </w:pPr>
      <w:r w:rsidRPr="00BD0D39">
        <w:rPr>
          <w:rFonts w:ascii="Arial" w:hAnsi="Arial" w:cs="Arial"/>
          <w:b/>
          <w:sz w:val="28"/>
          <w:highlight w:val="green"/>
        </w:rPr>
        <w:t>REVISION DE LA EDIFICA</w:t>
      </w:r>
      <w:r w:rsidR="00B52AA8" w:rsidRPr="00BD0D39">
        <w:rPr>
          <w:rFonts w:ascii="Arial" w:hAnsi="Arial" w:cs="Arial"/>
          <w:b/>
          <w:sz w:val="28"/>
          <w:highlight w:val="green"/>
        </w:rPr>
        <w:t>CIÓN</w:t>
      </w:r>
      <w:r w:rsidRPr="00BD0D39">
        <w:rPr>
          <w:rFonts w:ascii="Arial" w:hAnsi="Arial" w:cs="Arial"/>
          <w:b/>
          <w:sz w:val="28"/>
          <w:highlight w:val="green"/>
        </w:rPr>
        <w:t>.</w:t>
      </w:r>
    </w:p>
    <w:p w:rsidR="007B2228" w:rsidRPr="00900F0E" w:rsidRDefault="007B2228" w:rsidP="007B2228">
      <w:pPr>
        <w:spacing w:before="320"/>
        <w:jc w:val="both"/>
        <w:rPr>
          <w:rFonts w:ascii="Arial" w:hAnsi="Arial" w:cs="Arial"/>
          <w:sz w:val="24"/>
        </w:rPr>
      </w:pPr>
      <w:r w:rsidRPr="00BD0D39">
        <w:rPr>
          <w:rFonts w:ascii="Arial" w:hAnsi="Arial" w:cs="Arial"/>
          <w:sz w:val="24"/>
          <w:highlight w:val="green"/>
        </w:rPr>
        <w:t xml:space="preserve">El Avaluador no es el profesional  idóneo  que tiene la responsabilidad de revisar los diseños estructurales y estudios geotécnicos ni revisar los diseños de elementos no estructurales, para constatar que la edificación, sujeta a valuación,  cumple con los requisitos exigidos por </w:t>
      </w:r>
      <w:r w:rsidR="008849AE" w:rsidRPr="00BD0D39">
        <w:rPr>
          <w:rFonts w:ascii="Arial" w:hAnsi="Arial" w:cs="Arial"/>
          <w:sz w:val="24"/>
          <w:highlight w:val="green"/>
        </w:rPr>
        <w:t>Ley</w:t>
      </w:r>
      <w:r w:rsidRPr="00BD0D39">
        <w:rPr>
          <w:rFonts w:ascii="Arial" w:hAnsi="Arial" w:cs="Arial"/>
          <w:sz w:val="24"/>
          <w:highlight w:val="green"/>
        </w:rPr>
        <w:t xml:space="preserve"> y sus reglamentos. (Artículo 4° </w:t>
      </w:r>
      <w:r w:rsidR="008849AE" w:rsidRPr="00BD0D39">
        <w:rPr>
          <w:rFonts w:ascii="Arial" w:hAnsi="Arial" w:cs="Arial"/>
          <w:sz w:val="24"/>
          <w:highlight w:val="green"/>
        </w:rPr>
        <w:t>Ley</w:t>
      </w:r>
      <w:r w:rsidRPr="00BD0D39">
        <w:rPr>
          <w:rFonts w:ascii="Arial" w:hAnsi="Arial" w:cs="Arial"/>
          <w:sz w:val="24"/>
          <w:highlight w:val="green"/>
        </w:rPr>
        <w:t xml:space="preserve"> 400 de 1997)</w:t>
      </w:r>
    </w:p>
    <w:p w:rsidR="00981AC2" w:rsidRPr="00BD0D39" w:rsidRDefault="00981AC2" w:rsidP="00840155">
      <w:pPr>
        <w:spacing w:before="320"/>
        <w:rPr>
          <w:rFonts w:ascii="Arial" w:hAnsi="Arial" w:cs="Arial"/>
          <w:b/>
          <w:sz w:val="28"/>
          <w:highlight w:val="cyan"/>
        </w:rPr>
      </w:pPr>
      <w:r w:rsidRPr="00BD0D39">
        <w:rPr>
          <w:rFonts w:ascii="Arial" w:hAnsi="Arial" w:cs="Arial"/>
          <w:b/>
          <w:sz w:val="28"/>
          <w:highlight w:val="cyan"/>
        </w:rPr>
        <w:t xml:space="preserve">ESCRITURA </w:t>
      </w:r>
      <w:r w:rsidR="00F12FF0" w:rsidRPr="00BD0D39">
        <w:rPr>
          <w:rFonts w:ascii="Arial" w:hAnsi="Arial" w:cs="Arial"/>
          <w:b/>
          <w:sz w:val="28"/>
          <w:highlight w:val="cyan"/>
        </w:rPr>
        <w:t>PÚBLICA</w:t>
      </w:r>
      <w:r w:rsidRPr="00BD0D39">
        <w:rPr>
          <w:rFonts w:ascii="Arial" w:hAnsi="Arial" w:cs="Arial"/>
          <w:b/>
          <w:sz w:val="28"/>
          <w:highlight w:val="cyan"/>
        </w:rPr>
        <w:t>.</w:t>
      </w:r>
    </w:p>
    <w:p w:rsidR="00981AC2" w:rsidRDefault="00F12FF0" w:rsidP="00840155">
      <w:pPr>
        <w:spacing w:before="320"/>
        <w:rPr>
          <w:rFonts w:ascii="Arial" w:hAnsi="Arial" w:cs="Arial"/>
          <w:sz w:val="24"/>
        </w:rPr>
      </w:pPr>
      <w:r w:rsidRPr="00BD0D39">
        <w:rPr>
          <w:rFonts w:ascii="Arial" w:hAnsi="Arial" w:cs="Arial"/>
          <w:sz w:val="24"/>
          <w:highlight w:val="cyan"/>
        </w:rPr>
        <w:t>Es un documento íntegro que no precisa ninguna comprobación o contraste y que tiene, por sí mismo, la plena eficacia que le da la ley desde el mismo momento en que el notario lo autoriza. Es un instrumento ejecutivo que posee fuerza probatoria de las fechas, de los hechos y de las declaraciones que contiene. (Artículo 21 y 22 del CODIGO CIVIL)</w:t>
      </w:r>
    </w:p>
    <w:p w:rsidR="00CC4864" w:rsidRDefault="00CC4864" w:rsidP="00840155">
      <w:pPr>
        <w:spacing w:before="320"/>
        <w:rPr>
          <w:rFonts w:ascii="Arial" w:hAnsi="Arial" w:cs="Arial"/>
          <w:sz w:val="24"/>
        </w:rPr>
      </w:pPr>
    </w:p>
    <w:p w:rsidR="00CC4864" w:rsidRPr="00F12FF0" w:rsidRDefault="00CC4864" w:rsidP="00840155">
      <w:pPr>
        <w:spacing w:before="320"/>
        <w:rPr>
          <w:rFonts w:ascii="Arial" w:hAnsi="Arial" w:cs="Arial"/>
          <w:sz w:val="24"/>
        </w:rPr>
      </w:pPr>
    </w:p>
    <w:p w:rsidR="00840155" w:rsidRPr="00BD0D39" w:rsidRDefault="00840155" w:rsidP="00840155">
      <w:pPr>
        <w:spacing w:before="320"/>
        <w:rPr>
          <w:rFonts w:ascii="Arial" w:hAnsi="Arial" w:cs="Arial"/>
          <w:b/>
          <w:sz w:val="28"/>
          <w:highlight w:val="green"/>
        </w:rPr>
      </w:pPr>
      <w:r w:rsidRPr="00BD0D39">
        <w:rPr>
          <w:rFonts w:ascii="Arial" w:hAnsi="Arial" w:cs="Arial"/>
          <w:b/>
          <w:sz w:val="28"/>
          <w:highlight w:val="green"/>
        </w:rPr>
        <w:lastRenderedPageBreak/>
        <w:t>E.R.A. ENTIDAD RECONOCIDA DE AUTOREGULA</w:t>
      </w:r>
      <w:r w:rsidR="00B52AA8" w:rsidRPr="00BD0D39">
        <w:rPr>
          <w:rFonts w:ascii="Arial" w:hAnsi="Arial" w:cs="Arial"/>
          <w:b/>
          <w:sz w:val="28"/>
          <w:highlight w:val="green"/>
        </w:rPr>
        <w:t>CIÓN</w:t>
      </w:r>
      <w:r w:rsidRPr="00BD0D39">
        <w:rPr>
          <w:rFonts w:ascii="Arial" w:hAnsi="Arial" w:cs="Arial"/>
          <w:b/>
          <w:sz w:val="28"/>
          <w:highlight w:val="green"/>
        </w:rPr>
        <w:t xml:space="preserve">. </w:t>
      </w:r>
      <w:r w:rsidR="008A70B3" w:rsidRPr="00BD0D39">
        <w:rPr>
          <w:rFonts w:ascii="Arial" w:hAnsi="Arial" w:cs="Arial"/>
          <w:b/>
          <w:sz w:val="24"/>
          <w:highlight w:val="green"/>
        </w:rPr>
        <w:t xml:space="preserve">(Artículo 3° </w:t>
      </w:r>
      <w:r w:rsidR="008849AE" w:rsidRPr="00BD0D39">
        <w:rPr>
          <w:rFonts w:ascii="Arial" w:hAnsi="Arial" w:cs="Arial"/>
          <w:b/>
          <w:sz w:val="24"/>
          <w:highlight w:val="green"/>
        </w:rPr>
        <w:t>Ley</w:t>
      </w:r>
      <w:r w:rsidR="008A70B3" w:rsidRPr="00BD0D39">
        <w:rPr>
          <w:rFonts w:ascii="Arial" w:hAnsi="Arial" w:cs="Arial"/>
          <w:b/>
          <w:sz w:val="24"/>
          <w:highlight w:val="green"/>
        </w:rPr>
        <w:t xml:space="preserve"> 1673 de 2013)</w:t>
      </w:r>
    </w:p>
    <w:p w:rsidR="00840155" w:rsidRPr="00FE7A23" w:rsidRDefault="00840155" w:rsidP="00FE7A23">
      <w:pPr>
        <w:spacing w:before="320"/>
        <w:jc w:val="both"/>
        <w:rPr>
          <w:rFonts w:ascii="Arial" w:hAnsi="Arial" w:cs="Arial"/>
          <w:sz w:val="24"/>
        </w:rPr>
      </w:pPr>
      <w:r w:rsidRPr="00BD0D39">
        <w:rPr>
          <w:rFonts w:ascii="Arial" w:hAnsi="Arial" w:cs="Arial"/>
          <w:sz w:val="24"/>
          <w:highlight w:val="green"/>
        </w:rPr>
        <w:t xml:space="preserve">Entidad que Auto regula la actividad de los Avaluadores en Colombia. Actualmente existe solo una E.R.A. </w:t>
      </w:r>
      <w:r w:rsidRPr="00BD0D39">
        <w:rPr>
          <w:rFonts w:ascii="Arial" w:hAnsi="Arial" w:cs="Arial"/>
          <w:b/>
          <w:sz w:val="24"/>
          <w:highlight w:val="green"/>
        </w:rPr>
        <w:t>CORPORA</w:t>
      </w:r>
      <w:r w:rsidR="00B52AA8" w:rsidRPr="00BD0D39">
        <w:rPr>
          <w:rFonts w:ascii="Arial" w:hAnsi="Arial" w:cs="Arial"/>
          <w:b/>
          <w:sz w:val="24"/>
          <w:highlight w:val="green"/>
        </w:rPr>
        <w:t>CIÓN</w:t>
      </w:r>
      <w:r w:rsidRPr="00BD0D39">
        <w:rPr>
          <w:rFonts w:ascii="Arial" w:hAnsi="Arial" w:cs="Arial"/>
          <w:b/>
          <w:sz w:val="24"/>
          <w:highlight w:val="green"/>
        </w:rPr>
        <w:t xml:space="preserve"> AUTOREGULADOR NACIONAL DE AVALUADORES –ANA-, </w:t>
      </w:r>
      <w:r w:rsidRPr="00BD0D39">
        <w:rPr>
          <w:rFonts w:ascii="Arial" w:hAnsi="Arial" w:cs="Arial"/>
          <w:sz w:val="24"/>
          <w:highlight w:val="green"/>
        </w:rPr>
        <w:t xml:space="preserve"> con oficina en Bogotá, CALLE 99 # 71-51 OF-303 y contacto en 57 1 6370810</w:t>
      </w:r>
    </w:p>
    <w:p w:rsidR="008A70B3" w:rsidRPr="00BD0D39" w:rsidRDefault="008A70B3" w:rsidP="008A70B3">
      <w:pPr>
        <w:spacing w:before="320"/>
        <w:rPr>
          <w:rFonts w:ascii="Arial" w:hAnsi="Arial" w:cs="Arial"/>
          <w:b/>
          <w:sz w:val="28"/>
          <w:highlight w:val="cyan"/>
        </w:rPr>
      </w:pPr>
      <w:r w:rsidRPr="00BD0D39">
        <w:rPr>
          <w:rFonts w:ascii="Arial" w:hAnsi="Arial" w:cs="Arial"/>
          <w:b/>
          <w:sz w:val="28"/>
          <w:highlight w:val="cyan"/>
        </w:rPr>
        <w:t>R.A.A. REGISTRO ABIERTO DE AVALUADORES.</w:t>
      </w:r>
    </w:p>
    <w:p w:rsidR="008A70B3" w:rsidRPr="00FE7A23" w:rsidRDefault="008A70B3" w:rsidP="008A70B3">
      <w:pPr>
        <w:spacing w:before="320"/>
        <w:rPr>
          <w:rFonts w:ascii="Arial" w:hAnsi="Arial" w:cs="Arial"/>
          <w:sz w:val="24"/>
        </w:rPr>
      </w:pPr>
      <w:r w:rsidRPr="00BD0D39">
        <w:rPr>
          <w:rFonts w:ascii="Arial" w:hAnsi="Arial" w:cs="Arial"/>
          <w:sz w:val="24"/>
          <w:highlight w:val="cyan"/>
        </w:rPr>
        <w:t>Protocolo a cargo de la Entidad Reconocida de Autorregulación de Avaluadores, en donde se inscribe., conserva y actualiza la información de los avaluadores. (</w:t>
      </w:r>
      <w:r w:rsidR="008849AE" w:rsidRPr="00BD0D39">
        <w:rPr>
          <w:rFonts w:ascii="Arial" w:hAnsi="Arial" w:cs="Arial"/>
          <w:sz w:val="24"/>
          <w:highlight w:val="cyan"/>
        </w:rPr>
        <w:t>Ley</w:t>
      </w:r>
      <w:r w:rsidRPr="00BD0D39">
        <w:rPr>
          <w:rFonts w:ascii="Arial" w:hAnsi="Arial" w:cs="Arial"/>
          <w:sz w:val="24"/>
          <w:highlight w:val="cyan"/>
        </w:rPr>
        <w:t xml:space="preserve"> 1673 de 2013, Artículo 3°, artículo 5°)</w:t>
      </w:r>
    </w:p>
    <w:p w:rsidR="00B974D0" w:rsidRPr="00CE023D" w:rsidRDefault="00B974D0" w:rsidP="00840155">
      <w:pPr>
        <w:widowControl w:val="0"/>
        <w:tabs>
          <w:tab w:val="left" w:pos="1125"/>
        </w:tabs>
        <w:autoSpaceDE w:val="0"/>
        <w:autoSpaceDN w:val="0"/>
        <w:adjustRightInd w:val="0"/>
        <w:spacing w:after="0" w:line="243" w:lineRule="auto"/>
        <w:ind w:right="69"/>
        <w:jc w:val="both"/>
        <w:rPr>
          <w:rFonts w:ascii="Arial" w:hAnsi="Arial" w:cs="Arial"/>
          <w:sz w:val="23"/>
          <w:szCs w:val="23"/>
        </w:rPr>
      </w:pPr>
    </w:p>
    <w:p w:rsidR="00BE275A" w:rsidRPr="00CE023D" w:rsidRDefault="00BE275A" w:rsidP="00BE275A">
      <w:pPr>
        <w:pStyle w:val="Default"/>
        <w:jc w:val="both"/>
        <w:rPr>
          <w:b/>
          <w:color w:val="auto"/>
          <w:sz w:val="28"/>
          <w:szCs w:val="22"/>
          <w:lang w:val="es-CO"/>
        </w:rPr>
      </w:pPr>
      <w:r w:rsidRPr="00CE023D">
        <w:rPr>
          <w:b/>
          <w:color w:val="auto"/>
          <w:sz w:val="28"/>
          <w:szCs w:val="22"/>
          <w:lang w:val="es-CO"/>
        </w:rPr>
        <w:t>DESCRIPCIÓN DEL OBJETO A CONTRATAR, CON SUS ESPECIFICACIONES ESENCIALES</w:t>
      </w:r>
      <w:r w:rsidR="00A13326">
        <w:rPr>
          <w:b/>
          <w:color w:val="auto"/>
          <w:sz w:val="28"/>
          <w:szCs w:val="22"/>
          <w:lang w:val="es-CO"/>
        </w:rPr>
        <w:t xml:space="preserve"> </w:t>
      </w:r>
      <w:r w:rsidRPr="00CE023D">
        <w:rPr>
          <w:b/>
          <w:color w:val="auto"/>
          <w:sz w:val="28"/>
          <w:szCs w:val="22"/>
          <w:lang w:val="es-CO"/>
        </w:rPr>
        <w:t xml:space="preserve">Y LA IDENTIFICACIÓN DEL CONTRATO A CELEBRAR. </w:t>
      </w:r>
    </w:p>
    <w:p w:rsidR="00BE275A" w:rsidRPr="00CE023D" w:rsidRDefault="00BE275A" w:rsidP="00266C33">
      <w:pPr>
        <w:pStyle w:val="Default"/>
        <w:numPr>
          <w:ilvl w:val="0"/>
          <w:numId w:val="3"/>
        </w:numPr>
        <w:spacing w:before="100" w:beforeAutospacing="1" w:after="100" w:afterAutospacing="1"/>
        <w:ind w:left="0" w:firstLine="0"/>
        <w:rPr>
          <w:b/>
          <w:bCs/>
          <w:sz w:val="32"/>
          <w:szCs w:val="22"/>
        </w:rPr>
      </w:pPr>
      <w:r w:rsidRPr="00CE023D">
        <w:rPr>
          <w:b/>
          <w:bCs/>
          <w:sz w:val="32"/>
          <w:szCs w:val="22"/>
        </w:rPr>
        <w:t>D</w:t>
      </w:r>
      <w:r w:rsidR="00327869">
        <w:rPr>
          <w:b/>
          <w:bCs/>
          <w:sz w:val="32"/>
          <w:szCs w:val="22"/>
        </w:rPr>
        <w:t>ESCRIP</w:t>
      </w:r>
      <w:r w:rsidR="00B52AA8">
        <w:rPr>
          <w:b/>
          <w:bCs/>
          <w:sz w:val="32"/>
          <w:szCs w:val="22"/>
        </w:rPr>
        <w:t>CIÓN</w:t>
      </w:r>
      <w:r w:rsidR="00327869">
        <w:rPr>
          <w:b/>
          <w:bCs/>
          <w:sz w:val="32"/>
          <w:szCs w:val="22"/>
        </w:rPr>
        <w:t xml:space="preserve"> DEL OBJETO:</w:t>
      </w:r>
      <w:r w:rsidRPr="00CE023D">
        <w:rPr>
          <w:b/>
          <w:bCs/>
          <w:sz w:val="32"/>
          <w:szCs w:val="22"/>
        </w:rPr>
        <w:t xml:space="preserve"> </w:t>
      </w:r>
    </w:p>
    <w:p w:rsidR="00556384" w:rsidRPr="00900F0E" w:rsidRDefault="00A86CEC" w:rsidP="00556384">
      <w:pPr>
        <w:widowControl w:val="0"/>
        <w:autoSpaceDE w:val="0"/>
        <w:autoSpaceDN w:val="0"/>
        <w:adjustRightInd w:val="0"/>
        <w:spacing w:after="120" w:line="243" w:lineRule="auto"/>
        <w:ind w:left="709" w:right="69"/>
        <w:jc w:val="both"/>
        <w:rPr>
          <w:rFonts w:ascii="Arial" w:hAnsi="Arial" w:cs="Arial"/>
          <w:w w:val="101"/>
          <w:sz w:val="24"/>
          <w:szCs w:val="23"/>
        </w:rPr>
      </w:pPr>
      <w:r>
        <w:rPr>
          <w:rFonts w:ascii="Arial" w:hAnsi="Arial" w:cs="Arial"/>
          <w:sz w:val="24"/>
        </w:rPr>
        <w:t>Determinar el Valor C</w:t>
      </w:r>
      <w:r w:rsidR="00BE275A" w:rsidRPr="00CE023D">
        <w:rPr>
          <w:rFonts w:ascii="Arial" w:hAnsi="Arial" w:cs="Arial"/>
          <w:sz w:val="24"/>
        </w:rPr>
        <w:t>omercial</w:t>
      </w:r>
      <w:r w:rsidR="00B91BCD" w:rsidRPr="00CE023D">
        <w:rPr>
          <w:rFonts w:ascii="Arial" w:hAnsi="Arial" w:cs="Arial"/>
          <w:sz w:val="24"/>
        </w:rPr>
        <w:t>es</w:t>
      </w:r>
      <w:r w:rsidR="00BE275A" w:rsidRPr="00CE023D">
        <w:rPr>
          <w:rFonts w:ascii="Arial" w:hAnsi="Arial" w:cs="Arial"/>
          <w:sz w:val="24"/>
        </w:rPr>
        <w:t xml:space="preserve"> de</w:t>
      </w:r>
      <w:r w:rsidR="00B91BCD" w:rsidRPr="00CE023D">
        <w:rPr>
          <w:rFonts w:ascii="Arial" w:hAnsi="Arial" w:cs="Arial"/>
          <w:sz w:val="24"/>
        </w:rPr>
        <w:t xml:space="preserve"> </w:t>
      </w:r>
      <w:r w:rsidR="00BE275A" w:rsidRPr="00CE023D">
        <w:rPr>
          <w:rFonts w:ascii="Arial" w:hAnsi="Arial" w:cs="Arial"/>
          <w:sz w:val="24"/>
        </w:rPr>
        <w:t>l</w:t>
      </w:r>
      <w:r w:rsidR="00B91BCD" w:rsidRPr="00CE023D">
        <w:rPr>
          <w:rFonts w:ascii="Arial" w:hAnsi="Arial" w:cs="Arial"/>
          <w:sz w:val="24"/>
        </w:rPr>
        <w:t>os</w:t>
      </w:r>
      <w:r w:rsidR="00BE275A" w:rsidRPr="00CE023D">
        <w:rPr>
          <w:rFonts w:ascii="Arial" w:hAnsi="Arial" w:cs="Arial"/>
          <w:sz w:val="24"/>
        </w:rPr>
        <w:t xml:space="preserve"> bien</w:t>
      </w:r>
      <w:r w:rsidR="00DE7AFC" w:rsidRPr="00CE023D">
        <w:rPr>
          <w:rFonts w:ascii="Arial" w:hAnsi="Arial" w:cs="Arial"/>
          <w:sz w:val="24"/>
        </w:rPr>
        <w:t>es</w:t>
      </w:r>
      <w:r w:rsidR="00BE275A" w:rsidRPr="00CE023D">
        <w:rPr>
          <w:rFonts w:ascii="Arial" w:hAnsi="Arial" w:cs="Arial"/>
          <w:sz w:val="24"/>
        </w:rPr>
        <w:t xml:space="preserve"> inmueble</w:t>
      </w:r>
      <w:r w:rsidR="00B91BCD" w:rsidRPr="00CE023D">
        <w:rPr>
          <w:rFonts w:ascii="Arial" w:hAnsi="Arial" w:cs="Arial"/>
          <w:sz w:val="24"/>
        </w:rPr>
        <w:t>s</w:t>
      </w:r>
      <w:r w:rsidR="00BE275A" w:rsidRPr="00CE023D">
        <w:rPr>
          <w:rFonts w:ascii="Arial" w:hAnsi="Arial" w:cs="Arial"/>
          <w:sz w:val="24"/>
        </w:rPr>
        <w:t xml:space="preserve"> ubicado</w:t>
      </w:r>
      <w:r w:rsidR="00B91BCD" w:rsidRPr="00CE023D">
        <w:rPr>
          <w:rFonts w:ascii="Arial" w:hAnsi="Arial" w:cs="Arial"/>
          <w:sz w:val="24"/>
        </w:rPr>
        <w:t>s</w:t>
      </w:r>
      <w:r w:rsidR="00BE275A" w:rsidRPr="00CE023D">
        <w:rPr>
          <w:rFonts w:ascii="Arial" w:hAnsi="Arial" w:cs="Arial"/>
          <w:sz w:val="24"/>
        </w:rPr>
        <w:t xml:space="preserve"> en </w:t>
      </w:r>
      <w:r w:rsidR="00B91BCD" w:rsidRPr="00CE023D">
        <w:rPr>
          <w:rFonts w:ascii="Arial" w:hAnsi="Arial" w:cs="Arial"/>
          <w:sz w:val="24"/>
        </w:rPr>
        <w:t xml:space="preserve">el municipio </w:t>
      </w:r>
      <w:r w:rsidR="00420ECD">
        <w:rPr>
          <w:rFonts w:ascii="Arial" w:hAnsi="Arial" w:cs="Arial"/>
          <w:sz w:val="24"/>
        </w:rPr>
        <w:t>de su emplazamiento</w:t>
      </w:r>
      <w:r w:rsidR="00195621">
        <w:rPr>
          <w:rFonts w:ascii="Arial" w:hAnsi="Arial" w:cs="Arial"/>
          <w:sz w:val="24"/>
        </w:rPr>
        <w:t xml:space="preserve"> y </w:t>
      </w:r>
      <w:r>
        <w:rPr>
          <w:rFonts w:ascii="Arial" w:hAnsi="Arial" w:cs="Arial"/>
          <w:sz w:val="24"/>
        </w:rPr>
        <w:t>relacionados en este documento</w:t>
      </w:r>
      <w:r w:rsidR="00B91BCD" w:rsidRPr="00CE023D">
        <w:rPr>
          <w:rFonts w:ascii="Arial" w:hAnsi="Arial" w:cs="Arial"/>
          <w:sz w:val="24"/>
        </w:rPr>
        <w:t>,</w:t>
      </w:r>
      <w:r w:rsidR="00D52F3D" w:rsidRPr="00CE023D">
        <w:rPr>
          <w:rFonts w:ascii="Arial" w:hAnsi="Arial" w:cs="Arial"/>
          <w:sz w:val="24"/>
        </w:rPr>
        <w:t xml:space="preserve"> </w:t>
      </w:r>
      <w:r w:rsidR="00BE275A" w:rsidRPr="00CE023D">
        <w:rPr>
          <w:rFonts w:ascii="Arial" w:hAnsi="Arial" w:cs="Arial"/>
          <w:sz w:val="24"/>
        </w:rPr>
        <w:t>específicamente los metros cuadrados que haya al mo</w:t>
      </w:r>
      <w:r w:rsidR="00195621">
        <w:rPr>
          <w:rFonts w:ascii="Arial" w:hAnsi="Arial" w:cs="Arial"/>
          <w:sz w:val="24"/>
        </w:rPr>
        <w:t>mento de la visita del bien</w:t>
      </w:r>
      <w:r w:rsidR="00420ECD">
        <w:rPr>
          <w:rFonts w:ascii="Arial" w:hAnsi="Arial" w:cs="Arial"/>
          <w:sz w:val="24"/>
        </w:rPr>
        <w:t xml:space="preserve"> (</w:t>
      </w:r>
      <w:r w:rsidR="00195621">
        <w:rPr>
          <w:rFonts w:ascii="Arial" w:hAnsi="Arial" w:cs="Arial"/>
          <w:sz w:val="24"/>
        </w:rPr>
        <w:t>área</w:t>
      </w:r>
      <w:r w:rsidR="00420ECD">
        <w:rPr>
          <w:rFonts w:ascii="Arial" w:hAnsi="Arial" w:cs="Arial"/>
          <w:sz w:val="24"/>
        </w:rPr>
        <w:t xml:space="preserve"> lote o terreno y área de construcción</w:t>
      </w:r>
      <w:r w:rsidR="00195621">
        <w:rPr>
          <w:rFonts w:ascii="Arial" w:hAnsi="Arial" w:cs="Arial"/>
          <w:sz w:val="24"/>
        </w:rPr>
        <w:t xml:space="preserve"> y área de construcción de las mejoras</w:t>
      </w:r>
      <w:r w:rsidR="00420ECD">
        <w:rPr>
          <w:rFonts w:ascii="Arial" w:hAnsi="Arial" w:cs="Arial"/>
          <w:sz w:val="24"/>
        </w:rPr>
        <w:t>)</w:t>
      </w:r>
      <w:r w:rsidR="00195621">
        <w:rPr>
          <w:rFonts w:ascii="Arial" w:hAnsi="Arial" w:cs="Arial"/>
          <w:sz w:val="24"/>
        </w:rPr>
        <w:t xml:space="preserve"> conociendo previamente la</w:t>
      </w:r>
      <w:r w:rsidR="00BE275A" w:rsidRPr="00CE023D">
        <w:rPr>
          <w:rFonts w:ascii="Arial" w:hAnsi="Arial" w:cs="Arial"/>
          <w:sz w:val="24"/>
        </w:rPr>
        <w:t xml:space="preserve"> </w:t>
      </w:r>
      <w:r w:rsidR="00420ECD">
        <w:rPr>
          <w:rFonts w:ascii="Arial" w:hAnsi="Arial" w:cs="Arial"/>
          <w:sz w:val="24"/>
        </w:rPr>
        <w:t xml:space="preserve">información establecida en la documentación </w:t>
      </w:r>
      <w:r w:rsidR="00BE275A" w:rsidRPr="00CE023D">
        <w:rPr>
          <w:rFonts w:ascii="Arial" w:hAnsi="Arial" w:cs="Arial"/>
          <w:sz w:val="24"/>
        </w:rPr>
        <w:t xml:space="preserve"> suministr</w:t>
      </w:r>
      <w:r w:rsidR="00420ECD">
        <w:rPr>
          <w:rFonts w:ascii="Arial" w:hAnsi="Arial" w:cs="Arial"/>
          <w:sz w:val="24"/>
        </w:rPr>
        <w:t>ada por el SOLICITANTE/CONTRATANTE.</w:t>
      </w:r>
      <w:r w:rsidR="00556384" w:rsidRPr="00556384">
        <w:rPr>
          <w:rFonts w:ascii="Arial" w:hAnsi="Arial" w:cs="Arial"/>
          <w:w w:val="101"/>
          <w:sz w:val="24"/>
          <w:szCs w:val="23"/>
        </w:rPr>
        <w:t xml:space="preserve"> </w:t>
      </w:r>
    </w:p>
    <w:p w:rsidR="00195621" w:rsidRPr="00CE023D" w:rsidRDefault="00195621" w:rsidP="00556384">
      <w:pPr>
        <w:pStyle w:val="Prrafodelista"/>
        <w:autoSpaceDE w:val="0"/>
        <w:autoSpaceDN w:val="0"/>
        <w:adjustRightInd w:val="0"/>
        <w:spacing w:before="240"/>
        <w:jc w:val="both"/>
        <w:rPr>
          <w:rFonts w:ascii="Arial" w:hAnsi="Arial" w:cs="Arial"/>
          <w:sz w:val="24"/>
        </w:rPr>
      </w:pPr>
      <w:r>
        <w:rPr>
          <w:rFonts w:ascii="Arial" w:hAnsi="Arial" w:cs="Arial"/>
          <w:sz w:val="24"/>
        </w:rPr>
        <w:t xml:space="preserve">Si el bien inmueble tiene cultivos, se precisa el suministro actualizado de áreas de cultivo, edades vegetativas, densidades y producción actual y futura de cada lote, fuera de </w:t>
      </w:r>
      <w:r w:rsidR="00556384">
        <w:rPr>
          <w:rFonts w:ascii="Arial" w:hAnsi="Arial" w:cs="Arial"/>
          <w:sz w:val="24"/>
        </w:rPr>
        <w:t>información pertinente para establecer los costos de mantenimiento del cultivo</w:t>
      </w:r>
      <w:r>
        <w:rPr>
          <w:rFonts w:ascii="Arial" w:hAnsi="Arial" w:cs="Arial"/>
          <w:sz w:val="24"/>
        </w:rPr>
        <w:t xml:space="preserve"> </w:t>
      </w:r>
    </w:p>
    <w:p w:rsidR="00BE275A" w:rsidRPr="00CE023D" w:rsidRDefault="00BE275A" w:rsidP="00BE275A">
      <w:pPr>
        <w:pStyle w:val="Default"/>
        <w:numPr>
          <w:ilvl w:val="0"/>
          <w:numId w:val="3"/>
        </w:numPr>
        <w:spacing w:before="100" w:beforeAutospacing="1" w:after="100" w:afterAutospacing="1"/>
        <w:ind w:left="0" w:firstLine="0"/>
        <w:rPr>
          <w:b/>
          <w:bCs/>
          <w:sz w:val="32"/>
          <w:szCs w:val="22"/>
        </w:rPr>
      </w:pPr>
      <w:r w:rsidRPr="00CE023D">
        <w:rPr>
          <w:b/>
          <w:bCs/>
          <w:sz w:val="32"/>
          <w:szCs w:val="22"/>
        </w:rPr>
        <w:t>E</w:t>
      </w:r>
      <w:r w:rsidR="00327869">
        <w:rPr>
          <w:b/>
          <w:bCs/>
          <w:sz w:val="32"/>
          <w:szCs w:val="22"/>
        </w:rPr>
        <w:t>SPECIFICACIONES ESENCIALES</w:t>
      </w:r>
      <w:r w:rsidRPr="00CE023D">
        <w:rPr>
          <w:b/>
          <w:bCs/>
          <w:sz w:val="32"/>
          <w:szCs w:val="22"/>
        </w:rPr>
        <w:t xml:space="preserve">: </w:t>
      </w:r>
    </w:p>
    <w:p w:rsidR="00A65034" w:rsidRPr="00900F0E" w:rsidRDefault="00BE275A" w:rsidP="00A65034">
      <w:pPr>
        <w:widowControl w:val="0"/>
        <w:autoSpaceDE w:val="0"/>
        <w:autoSpaceDN w:val="0"/>
        <w:adjustRightInd w:val="0"/>
        <w:spacing w:after="120" w:line="243" w:lineRule="auto"/>
        <w:ind w:left="709" w:right="69"/>
        <w:jc w:val="both"/>
        <w:rPr>
          <w:rFonts w:ascii="Arial" w:hAnsi="Arial" w:cs="Arial"/>
          <w:w w:val="101"/>
          <w:sz w:val="24"/>
          <w:szCs w:val="23"/>
        </w:rPr>
      </w:pPr>
      <w:r w:rsidRPr="00CE023D">
        <w:rPr>
          <w:rFonts w:ascii="Arial" w:hAnsi="Arial" w:cs="Arial"/>
          <w:sz w:val="24"/>
        </w:rPr>
        <w:t>Efectuar el proceso técnico, que permita determinar y/o actualizar el valor comercial en términos monetarios y en un mercado libre y abierto del bien inmueble, atendiendo las siguientes especificaciones técnicas:</w:t>
      </w:r>
      <w:r w:rsidR="00A65034" w:rsidRPr="00A65034">
        <w:rPr>
          <w:rFonts w:ascii="Arial" w:hAnsi="Arial" w:cs="Arial"/>
          <w:w w:val="101"/>
          <w:sz w:val="24"/>
          <w:szCs w:val="23"/>
        </w:rPr>
        <w:t xml:space="preserve"> </w:t>
      </w:r>
    </w:p>
    <w:p w:rsidR="00B52AA8" w:rsidRDefault="00B52AA8">
      <w:pPr>
        <w:rPr>
          <w:rFonts w:ascii="Arial" w:hAnsi="Arial" w:cs="Arial"/>
          <w:b/>
          <w:sz w:val="24"/>
        </w:rPr>
      </w:pPr>
      <w:r>
        <w:rPr>
          <w:rFonts w:ascii="Arial" w:hAnsi="Arial" w:cs="Arial"/>
          <w:b/>
          <w:sz w:val="24"/>
        </w:rPr>
        <w:br w:type="page"/>
      </w:r>
    </w:p>
    <w:p w:rsidR="00A65034" w:rsidRPr="00900F0E" w:rsidRDefault="00B94F69" w:rsidP="00A65034">
      <w:pPr>
        <w:widowControl w:val="0"/>
        <w:autoSpaceDE w:val="0"/>
        <w:autoSpaceDN w:val="0"/>
        <w:adjustRightInd w:val="0"/>
        <w:spacing w:after="120" w:line="243" w:lineRule="auto"/>
        <w:ind w:right="69"/>
        <w:jc w:val="center"/>
        <w:rPr>
          <w:rFonts w:ascii="Arial" w:hAnsi="Arial" w:cs="Arial"/>
          <w:w w:val="101"/>
          <w:sz w:val="24"/>
          <w:szCs w:val="23"/>
        </w:rPr>
      </w:pPr>
      <w:r w:rsidRPr="00CE023D">
        <w:rPr>
          <w:rFonts w:ascii="Arial" w:hAnsi="Arial" w:cs="Arial"/>
          <w:b/>
          <w:sz w:val="24"/>
        </w:rPr>
        <w:lastRenderedPageBreak/>
        <w:t xml:space="preserve">REQUERIMIENTOS: </w:t>
      </w:r>
      <w:r w:rsidR="002E3070" w:rsidRPr="00CE023D">
        <w:rPr>
          <w:rFonts w:ascii="Arial" w:hAnsi="Arial" w:cs="Arial"/>
          <w:b/>
          <w:sz w:val="24"/>
        </w:rPr>
        <w:t xml:space="preserve">AVALUOS </w:t>
      </w:r>
      <w:r w:rsidR="008D0BDE" w:rsidRPr="00CE023D">
        <w:rPr>
          <w:rFonts w:ascii="Arial" w:hAnsi="Arial" w:cs="Arial"/>
          <w:b/>
          <w:sz w:val="24"/>
        </w:rPr>
        <w:t xml:space="preserve">COMERCIAL </w:t>
      </w:r>
      <w:r w:rsidR="002E3070" w:rsidRPr="00CE023D">
        <w:rPr>
          <w:rFonts w:ascii="Arial" w:hAnsi="Arial" w:cs="Arial"/>
          <w:b/>
          <w:sz w:val="24"/>
        </w:rPr>
        <w:t>DE INMUEBLES</w:t>
      </w:r>
    </w:p>
    <w:p w:rsidR="00A65034" w:rsidRPr="00900F0E" w:rsidRDefault="002071A0" w:rsidP="00A65034">
      <w:pPr>
        <w:widowControl w:val="0"/>
        <w:autoSpaceDE w:val="0"/>
        <w:autoSpaceDN w:val="0"/>
        <w:adjustRightInd w:val="0"/>
        <w:spacing w:after="120" w:line="243" w:lineRule="auto"/>
        <w:ind w:right="69"/>
        <w:jc w:val="center"/>
        <w:rPr>
          <w:rFonts w:ascii="Arial" w:hAnsi="Arial" w:cs="Arial"/>
          <w:w w:val="101"/>
          <w:sz w:val="24"/>
          <w:szCs w:val="23"/>
        </w:rPr>
      </w:pPr>
      <w:bookmarkStart w:id="0" w:name="OLE_LINK1"/>
      <w:bookmarkStart w:id="1" w:name="OLE_LINK2"/>
      <w:r w:rsidRPr="00CE023D">
        <w:rPr>
          <w:rFonts w:ascii="Arial" w:eastAsia="Times New Roman" w:hAnsi="Arial" w:cs="Arial"/>
          <w:b/>
          <w:color w:val="212121"/>
          <w:sz w:val="24"/>
          <w:szCs w:val="28"/>
          <w:lang w:eastAsia="es-ES"/>
        </w:rPr>
        <w:t>Escritura Publica 3397 de 09-09-2015. Notaria 7ª Medellín</w:t>
      </w:r>
    </w:p>
    <w:tbl>
      <w:tblPr>
        <w:tblStyle w:val="Tablaconcuadrcula"/>
        <w:tblW w:w="0" w:type="auto"/>
        <w:tblInd w:w="720" w:type="dxa"/>
        <w:shd w:val="clear" w:color="auto" w:fill="FFFF00"/>
        <w:tblLook w:val="04A0" w:firstRow="1" w:lastRow="0" w:firstColumn="1" w:lastColumn="0" w:noHBand="0" w:noVBand="1"/>
      </w:tblPr>
      <w:tblGrid>
        <w:gridCol w:w="545"/>
        <w:gridCol w:w="1502"/>
        <w:gridCol w:w="1883"/>
        <w:gridCol w:w="1272"/>
        <w:gridCol w:w="1028"/>
        <w:gridCol w:w="1850"/>
      </w:tblGrid>
      <w:tr w:rsidR="00543676" w:rsidRPr="00A13326" w:rsidTr="00AE0078">
        <w:trPr>
          <w:tblHeader/>
        </w:trPr>
        <w:tc>
          <w:tcPr>
            <w:tcW w:w="545"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bookmarkStart w:id="2" w:name="OLE_LINK3"/>
            <w:bookmarkStart w:id="3" w:name="OLE_LINK4"/>
            <w:r w:rsidRPr="00A13326">
              <w:rPr>
                <w:rFonts w:ascii="Arial" w:hAnsi="Arial" w:cs="Arial"/>
                <w:b/>
                <w:sz w:val="20"/>
              </w:rPr>
              <w:t>No</w:t>
            </w:r>
          </w:p>
        </w:tc>
        <w:tc>
          <w:tcPr>
            <w:tcW w:w="1502"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r w:rsidRPr="00A13326">
              <w:rPr>
                <w:rFonts w:ascii="Arial" w:hAnsi="Arial" w:cs="Arial"/>
                <w:b/>
                <w:sz w:val="20"/>
              </w:rPr>
              <w:t>TIPO DE INMUEBLE</w:t>
            </w:r>
          </w:p>
        </w:tc>
        <w:tc>
          <w:tcPr>
            <w:tcW w:w="1883"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r w:rsidRPr="00A13326">
              <w:rPr>
                <w:rFonts w:ascii="Arial" w:hAnsi="Arial" w:cs="Arial"/>
                <w:b/>
                <w:sz w:val="20"/>
              </w:rPr>
              <w:t>FOLIO MATRICULA INMOBILIARIA</w:t>
            </w:r>
          </w:p>
        </w:tc>
        <w:tc>
          <w:tcPr>
            <w:tcW w:w="1272"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r w:rsidRPr="00A13326">
              <w:rPr>
                <w:rFonts w:ascii="Arial" w:hAnsi="Arial" w:cs="Arial"/>
                <w:b/>
                <w:sz w:val="20"/>
              </w:rPr>
              <w:t>MUNICIPIO</w:t>
            </w:r>
          </w:p>
        </w:tc>
        <w:tc>
          <w:tcPr>
            <w:tcW w:w="1028"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r w:rsidRPr="00A13326">
              <w:rPr>
                <w:rFonts w:ascii="Arial" w:hAnsi="Arial" w:cs="Arial"/>
                <w:b/>
                <w:sz w:val="20"/>
              </w:rPr>
              <w:t>ARA LIBRE m</w:t>
            </w:r>
            <w:r w:rsidRPr="00A13326">
              <w:rPr>
                <w:rFonts w:ascii="Arial" w:hAnsi="Arial" w:cs="Arial"/>
                <w:b/>
                <w:sz w:val="20"/>
                <w:vertAlign w:val="superscript"/>
              </w:rPr>
              <w:t>2</w:t>
            </w:r>
          </w:p>
        </w:tc>
        <w:tc>
          <w:tcPr>
            <w:tcW w:w="1850" w:type="dxa"/>
            <w:shd w:val="clear" w:color="auto" w:fill="FFFF00"/>
            <w:vAlign w:val="center"/>
          </w:tcPr>
          <w:p w:rsidR="00543676" w:rsidRPr="00A13326" w:rsidRDefault="00543676" w:rsidP="00A13326">
            <w:pPr>
              <w:pStyle w:val="Prrafodelista"/>
              <w:autoSpaceDE w:val="0"/>
              <w:autoSpaceDN w:val="0"/>
              <w:adjustRightInd w:val="0"/>
              <w:spacing w:after="0"/>
              <w:ind w:left="0"/>
              <w:jc w:val="center"/>
              <w:rPr>
                <w:rFonts w:ascii="Arial" w:hAnsi="Arial" w:cs="Arial"/>
                <w:b/>
                <w:sz w:val="20"/>
              </w:rPr>
            </w:pPr>
            <w:r w:rsidRPr="00A13326">
              <w:rPr>
                <w:rFonts w:ascii="Arial" w:hAnsi="Arial" w:cs="Arial"/>
                <w:b/>
                <w:sz w:val="20"/>
              </w:rPr>
              <w:t>AREA CONSTRUC</w:t>
            </w:r>
            <w:r w:rsidR="00B52AA8">
              <w:rPr>
                <w:rFonts w:ascii="Arial" w:hAnsi="Arial" w:cs="Arial"/>
                <w:b/>
                <w:sz w:val="20"/>
              </w:rPr>
              <w:t>CIÓN</w:t>
            </w:r>
            <w:r w:rsidRPr="00A13326">
              <w:rPr>
                <w:rFonts w:ascii="Arial" w:hAnsi="Arial" w:cs="Arial"/>
                <w:b/>
                <w:sz w:val="20"/>
              </w:rPr>
              <w:t xml:space="preserve"> m</w:t>
            </w:r>
            <w:r w:rsidRPr="00A13326">
              <w:rPr>
                <w:rFonts w:ascii="Arial" w:hAnsi="Arial" w:cs="Arial"/>
                <w:b/>
                <w:sz w:val="20"/>
                <w:vertAlign w:val="superscript"/>
              </w:rPr>
              <w:t>2</w:t>
            </w:r>
          </w:p>
        </w:tc>
      </w:tr>
      <w:bookmarkEnd w:id="2"/>
      <w:bookmarkEnd w:id="3"/>
      <w:tr w:rsidR="00543676" w:rsidRPr="00CE023D" w:rsidTr="00AE0078">
        <w:tc>
          <w:tcPr>
            <w:tcW w:w="545"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hAnsi="Arial" w:cs="Arial"/>
                <w:b/>
                <w:sz w:val="20"/>
              </w:rPr>
            </w:pPr>
            <w:r w:rsidRPr="00CE023D">
              <w:rPr>
                <w:rFonts w:ascii="Arial" w:hAnsi="Arial" w:cs="Arial"/>
                <w:b/>
                <w:sz w:val="20"/>
              </w:rPr>
              <w:t>1</w:t>
            </w:r>
          </w:p>
        </w:tc>
        <w:tc>
          <w:tcPr>
            <w:tcW w:w="1502"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hAnsi="Arial" w:cs="Arial"/>
                <w:sz w:val="20"/>
              </w:rPr>
            </w:pPr>
          </w:p>
        </w:tc>
        <w:tc>
          <w:tcPr>
            <w:tcW w:w="1883"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hAnsi="Arial" w:cs="Arial"/>
                <w:b/>
                <w:sz w:val="20"/>
              </w:rPr>
            </w:pPr>
          </w:p>
        </w:tc>
        <w:tc>
          <w:tcPr>
            <w:tcW w:w="1272" w:type="dxa"/>
            <w:shd w:val="clear" w:color="auto" w:fill="FFFF00"/>
          </w:tcPr>
          <w:p w:rsidR="00543676" w:rsidRPr="00CE023D" w:rsidRDefault="00543676"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028"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850"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r>
      <w:tr w:rsidR="00543676" w:rsidRPr="00CE023D" w:rsidTr="00AE0078">
        <w:tc>
          <w:tcPr>
            <w:tcW w:w="545"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hAnsi="Arial" w:cs="Arial"/>
                <w:b/>
                <w:sz w:val="20"/>
              </w:rPr>
            </w:pPr>
            <w:r w:rsidRPr="00CE023D">
              <w:rPr>
                <w:rFonts w:ascii="Arial" w:hAnsi="Arial" w:cs="Arial"/>
                <w:b/>
                <w:sz w:val="20"/>
              </w:rPr>
              <w:t>2</w:t>
            </w:r>
          </w:p>
        </w:tc>
        <w:tc>
          <w:tcPr>
            <w:tcW w:w="1502"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hAnsi="Arial" w:cs="Arial"/>
                <w:sz w:val="20"/>
              </w:rPr>
            </w:pPr>
          </w:p>
        </w:tc>
        <w:tc>
          <w:tcPr>
            <w:tcW w:w="1883"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272" w:type="dxa"/>
            <w:shd w:val="clear" w:color="auto" w:fill="FFFF00"/>
          </w:tcPr>
          <w:p w:rsidR="00543676" w:rsidRPr="00CE023D" w:rsidRDefault="00543676"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028"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850" w:type="dxa"/>
            <w:shd w:val="clear" w:color="auto" w:fill="FFFF00"/>
          </w:tcPr>
          <w:p w:rsidR="00543676" w:rsidRPr="00CE023D" w:rsidRDefault="00543676" w:rsidP="002E3A76">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r>
      <w:bookmarkEnd w:id="0"/>
      <w:bookmarkEnd w:id="1"/>
    </w:tbl>
    <w:p w:rsidR="002E3A76" w:rsidRPr="00CE023D" w:rsidRDefault="002E3A76" w:rsidP="0066698E">
      <w:pPr>
        <w:pStyle w:val="Prrafodelista"/>
        <w:tabs>
          <w:tab w:val="left" w:pos="709"/>
        </w:tabs>
        <w:autoSpaceDE w:val="0"/>
        <w:autoSpaceDN w:val="0"/>
        <w:adjustRightInd w:val="0"/>
        <w:spacing w:after="0"/>
        <w:ind w:left="142" w:firstLine="113"/>
        <w:jc w:val="both"/>
        <w:rPr>
          <w:rFonts w:ascii="Arial" w:hAnsi="Arial" w:cs="Arial"/>
          <w:sz w:val="8"/>
        </w:rPr>
      </w:pPr>
    </w:p>
    <w:p w:rsidR="002071A0" w:rsidRPr="00CE023D" w:rsidRDefault="004A1973" w:rsidP="00A65034">
      <w:pPr>
        <w:pStyle w:val="Prrafodelista"/>
        <w:autoSpaceDE w:val="0"/>
        <w:autoSpaceDN w:val="0"/>
        <w:adjustRightInd w:val="0"/>
        <w:spacing w:before="120"/>
        <w:jc w:val="both"/>
        <w:rPr>
          <w:rFonts w:ascii="Arial" w:hAnsi="Arial" w:cs="Arial"/>
          <w:sz w:val="24"/>
        </w:rPr>
      </w:pPr>
      <w:r w:rsidRPr="00CE023D">
        <w:rPr>
          <w:rFonts w:ascii="Arial" w:hAnsi="Arial" w:cs="Arial"/>
          <w:b/>
          <w:sz w:val="24"/>
        </w:rPr>
        <w:t>NOTA No 1</w:t>
      </w:r>
      <w:r w:rsidRPr="00CE023D">
        <w:rPr>
          <w:rFonts w:ascii="Arial" w:hAnsi="Arial" w:cs="Arial"/>
          <w:sz w:val="24"/>
        </w:rPr>
        <w:t xml:space="preserve">. </w:t>
      </w:r>
      <w:r w:rsidR="00A678FC" w:rsidRPr="00CE023D">
        <w:rPr>
          <w:rFonts w:ascii="Arial" w:hAnsi="Arial" w:cs="Arial"/>
          <w:sz w:val="24"/>
        </w:rPr>
        <w:t xml:space="preserve">Las áreas relacionadas son las que están registradas en las escrituras </w:t>
      </w:r>
      <w:r w:rsidR="00DE7AFC" w:rsidRPr="00CE023D">
        <w:rPr>
          <w:rFonts w:ascii="Arial" w:hAnsi="Arial" w:cs="Arial"/>
          <w:sz w:val="24"/>
        </w:rPr>
        <w:t>públicas</w:t>
      </w:r>
      <w:r w:rsidR="00A678FC" w:rsidRPr="00CE023D">
        <w:rPr>
          <w:rFonts w:ascii="Arial" w:hAnsi="Arial" w:cs="Arial"/>
          <w:sz w:val="24"/>
        </w:rPr>
        <w:t xml:space="preserve"> y/o Certificado de </w:t>
      </w:r>
      <w:r w:rsidR="00DE7AFC" w:rsidRPr="00CE023D">
        <w:rPr>
          <w:rFonts w:ascii="Arial" w:hAnsi="Arial" w:cs="Arial"/>
          <w:sz w:val="24"/>
        </w:rPr>
        <w:t>Tradición</w:t>
      </w:r>
      <w:r w:rsidR="002071A0" w:rsidRPr="00CE023D">
        <w:rPr>
          <w:rFonts w:ascii="Arial" w:hAnsi="Arial" w:cs="Arial"/>
          <w:sz w:val="24"/>
        </w:rPr>
        <w:t xml:space="preserve"> y Libertad. </w:t>
      </w:r>
    </w:p>
    <w:p w:rsidR="00BE275A" w:rsidRPr="00CE023D" w:rsidRDefault="00BE275A" w:rsidP="00266C33">
      <w:pPr>
        <w:pStyle w:val="Default"/>
        <w:numPr>
          <w:ilvl w:val="0"/>
          <w:numId w:val="3"/>
        </w:numPr>
        <w:spacing w:before="100" w:beforeAutospacing="1" w:after="100" w:afterAutospacing="1"/>
        <w:ind w:left="0" w:firstLine="0"/>
        <w:rPr>
          <w:b/>
          <w:bCs/>
          <w:sz w:val="32"/>
          <w:szCs w:val="22"/>
        </w:rPr>
      </w:pPr>
      <w:r w:rsidRPr="00CE023D">
        <w:rPr>
          <w:b/>
          <w:bCs/>
          <w:sz w:val="32"/>
          <w:szCs w:val="22"/>
        </w:rPr>
        <w:t>I</w:t>
      </w:r>
      <w:r w:rsidR="00327869">
        <w:rPr>
          <w:b/>
          <w:bCs/>
          <w:sz w:val="32"/>
          <w:szCs w:val="22"/>
        </w:rPr>
        <w:t>DENTIFICA</w:t>
      </w:r>
      <w:r w:rsidR="00B52AA8">
        <w:rPr>
          <w:b/>
          <w:bCs/>
          <w:sz w:val="32"/>
          <w:szCs w:val="22"/>
        </w:rPr>
        <w:t>CIÓN</w:t>
      </w:r>
      <w:r w:rsidR="00327869">
        <w:rPr>
          <w:b/>
          <w:bCs/>
          <w:sz w:val="32"/>
          <w:szCs w:val="22"/>
        </w:rPr>
        <w:t xml:space="preserve"> DEL CONTRATO A CELEBRAR</w:t>
      </w:r>
      <w:r w:rsidRPr="00CE023D">
        <w:rPr>
          <w:b/>
          <w:bCs/>
          <w:sz w:val="32"/>
          <w:szCs w:val="22"/>
        </w:rPr>
        <w:t xml:space="preserve">: </w:t>
      </w:r>
    </w:p>
    <w:p w:rsidR="00BE275A" w:rsidRPr="00CE023D" w:rsidRDefault="00BE275A" w:rsidP="004A1973">
      <w:pPr>
        <w:pStyle w:val="Prrafodelista"/>
        <w:autoSpaceDE w:val="0"/>
        <w:autoSpaceDN w:val="0"/>
        <w:adjustRightInd w:val="0"/>
        <w:jc w:val="both"/>
        <w:rPr>
          <w:rFonts w:ascii="Arial" w:hAnsi="Arial" w:cs="Arial"/>
          <w:sz w:val="24"/>
        </w:rPr>
      </w:pPr>
      <w:r w:rsidRPr="00CE023D">
        <w:rPr>
          <w:rFonts w:ascii="Arial" w:hAnsi="Arial" w:cs="Arial"/>
          <w:sz w:val="24"/>
        </w:rPr>
        <w:t xml:space="preserve">Contrato de prestación de servicios. </w:t>
      </w:r>
      <w:r w:rsidR="00207672">
        <w:rPr>
          <w:rFonts w:ascii="Arial" w:hAnsi="Arial" w:cs="Arial"/>
          <w:sz w:val="24"/>
        </w:rPr>
        <w:t>(Articulo1495 del Código C</w:t>
      </w:r>
      <w:r w:rsidR="00601E71" w:rsidRPr="00CE023D">
        <w:rPr>
          <w:rFonts w:ascii="Arial" w:hAnsi="Arial" w:cs="Arial"/>
          <w:sz w:val="24"/>
        </w:rPr>
        <w:t>ivil)</w:t>
      </w:r>
    </w:p>
    <w:p w:rsidR="00BE275A" w:rsidRPr="00DD2D2F" w:rsidRDefault="00BE275A" w:rsidP="00BE275A">
      <w:pPr>
        <w:pStyle w:val="Default"/>
        <w:numPr>
          <w:ilvl w:val="0"/>
          <w:numId w:val="3"/>
        </w:numPr>
        <w:spacing w:before="100" w:beforeAutospacing="1" w:after="100" w:afterAutospacing="1"/>
        <w:ind w:left="0" w:firstLine="0"/>
        <w:rPr>
          <w:b/>
          <w:bCs/>
          <w:sz w:val="32"/>
          <w:szCs w:val="22"/>
          <w:highlight w:val="cyan"/>
        </w:rPr>
      </w:pPr>
      <w:r w:rsidRPr="00DD2D2F">
        <w:rPr>
          <w:b/>
          <w:bCs/>
          <w:sz w:val="32"/>
          <w:szCs w:val="22"/>
          <w:highlight w:val="cyan"/>
        </w:rPr>
        <w:t>V</w:t>
      </w:r>
      <w:r w:rsidR="00327869" w:rsidRPr="00DD2D2F">
        <w:rPr>
          <w:b/>
          <w:bCs/>
          <w:sz w:val="32"/>
          <w:szCs w:val="22"/>
          <w:highlight w:val="cyan"/>
        </w:rPr>
        <w:t>IGENCIA DE LA COTIZA</w:t>
      </w:r>
      <w:r w:rsidR="00B52AA8" w:rsidRPr="00DD2D2F">
        <w:rPr>
          <w:b/>
          <w:bCs/>
          <w:sz w:val="32"/>
          <w:szCs w:val="22"/>
          <w:highlight w:val="cyan"/>
        </w:rPr>
        <w:t>CIÓN</w:t>
      </w:r>
      <w:r w:rsidRPr="00DD2D2F">
        <w:rPr>
          <w:b/>
          <w:bCs/>
          <w:sz w:val="32"/>
          <w:szCs w:val="22"/>
          <w:highlight w:val="cyan"/>
        </w:rPr>
        <w:t xml:space="preserve">: </w:t>
      </w:r>
    </w:p>
    <w:p w:rsidR="00BE275A" w:rsidRPr="00CE023D" w:rsidRDefault="00BE275A" w:rsidP="004A1973">
      <w:pPr>
        <w:pStyle w:val="Prrafodelista"/>
        <w:autoSpaceDE w:val="0"/>
        <w:autoSpaceDN w:val="0"/>
        <w:adjustRightInd w:val="0"/>
        <w:jc w:val="both"/>
        <w:rPr>
          <w:rFonts w:ascii="Arial" w:hAnsi="Arial" w:cs="Arial"/>
          <w:sz w:val="24"/>
        </w:rPr>
      </w:pPr>
      <w:r w:rsidRPr="00DD2D2F">
        <w:rPr>
          <w:rFonts w:ascii="Arial" w:hAnsi="Arial" w:cs="Arial"/>
          <w:sz w:val="24"/>
          <w:highlight w:val="cyan"/>
        </w:rPr>
        <w:t>La vigencia de la Cotización será por el término</w:t>
      </w:r>
      <w:r w:rsidRPr="00CE023D">
        <w:rPr>
          <w:rFonts w:ascii="Arial" w:hAnsi="Arial" w:cs="Arial"/>
          <w:sz w:val="24"/>
        </w:rPr>
        <w:t xml:space="preserve"> </w:t>
      </w:r>
      <w:r w:rsidRPr="00DD2D2F">
        <w:rPr>
          <w:rFonts w:ascii="Arial" w:hAnsi="Arial" w:cs="Arial"/>
          <w:sz w:val="24"/>
          <w:highlight w:val="yellow"/>
        </w:rPr>
        <w:t xml:space="preserve">de </w:t>
      </w:r>
      <w:r w:rsidR="004A1973" w:rsidRPr="00DD2D2F">
        <w:rPr>
          <w:rFonts w:ascii="Arial" w:hAnsi="Arial" w:cs="Arial"/>
          <w:sz w:val="24"/>
          <w:highlight w:val="yellow"/>
        </w:rPr>
        <w:t>diez (1</w:t>
      </w:r>
      <w:r w:rsidRPr="00DD2D2F">
        <w:rPr>
          <w:rFonts w:ascii="Arial" w:hAnsi="Arial" w:cs="Arial"/>
          <w:sz w:val="24"/>
          <w:highlight w:val="yellow"/>
        </w:rPr>
        <w:t>0) días</w:t>
      </w:r>
      <w:r w:rsidRPr="00CE023D">
        <w:rPr>
          <w:rFonts w:ascii="Arial" w:hAnsi="Arial" w:cs="Arial"/>
          <w:sz w:val="24"/>
        </w:rPr>
        <w:t xml:space="preserve"> </w:t>
      </w:r>
      <w:r w:rsidRPr="00DD2D2F">
        <w:rPr>
          <w:rFonts w:ascii="Arial" w:hAnsi="Arial" w:cs="Arial"/>
          <w:sz w:val="24"/>
          <w:highlight w:val="cyan"/>
        </w:rPr>
        <w:t xml:space="preserve">o una vez se firme el contrato de servicios y cumplimiento con los requisitos de ejecución. (Artículo 13 Parágrafo 2. </w:t>
      </w:r>
      <w:r w:rsidR="008849AE" w:rsidRPr="00DD2D2F">
        <w:rPr>
          <w:rFonts w:ascii="Arial" w:hAnsi="Arial" w:cs="Arial"/>
          <w:sz w:val="24"/>
          <w:highlight w:val="cyan"/>
        </w:rPr>
        <w:t>Decreto</w:t>
      </w:r>
      <w:r w:rsidRPr="00DD2D2F">
        <w:rPr>
          <w:rFonts w:ascii="Arial" w:hAnsi="Arial" w:cs="Arial"/>
          <w:sz w:val="24"/>
          <w:highlight w:val="cyan"/>
        </w:rPr>
        <w:t xml:space="preserve"> 1420 de 1998).</w:t>
      </w:r>
    </w:p>
    <w:p w:rsidR="00BF4FA5" w:rsidRPr="00CE023D" w:rsidRDefault="00327869" w:rsidP="00BF4FA5">
      <w:pPr>
        <w:pStyle w:val="Default"/>
        <w:numPr>
          <w:ilvl w:val="0"/>
          <w:numId w:val="3"/>
        </w:numPr>
        <w:spacing w:before="100" w:beforeAutospacing="1" w:after="100" w:afterAutospacing="1"/>
        <w:ind w:left="0" w:firstLine="0"/>
        <w:rPr>
          <w:b/>
          <w:bCs/>
          <w:sz w:val="32"/>
          <w:szCs w:val="22"/>
        </w:rPr>
      </w:pPr>
      <w:r>
        <w:rPr>
          <w:b/>
          <w:bCs/>
          <w:sz w:val="32"/>
          <w:szCs w:val="22"/>
        </w:rPr>
        <w:t>PLAZO DE EJECU</w:t>
      </w:r>
      <w:r w:rsidR="00B52AA8">
        <w:rPr>
          <w:b/>
          <w:bCs/>
          <w:sz w:val="32"/>
          <w:szCs w:val="22"/>
        </w:rPr>
        <w:t>CIÓN</w:t>
      </w:r>
      <w:r>
        <w:rPr>
          <w:b/>
          <w:bCs/>
          <w:sz w:val="32"/>
          <w:szCs w:val="22"/>
        </w:rPr>
        <w:t>:</w:t>
      </w:r>
      <w:r w:rsidR="00BF4FA5" w:rsidRPr="00CE023D">
        <w:rPr>
          <w:b/>
          <w:bCs/>
          <w:sz w:val="32"/>
          <w:szCs w:val="22"/>
        </w:rPr>
        <w:t xml:space="preserve"> </w:t>
      </w:r>
    </w:p>
    <w:p w:rsidR="00BF4FA5" w:rsidRPr="00CE023D" w:rsidRDefault="00BF4FA5" w:rsidP="00BF4FA5">
      <w:pPr>
        <w:pStyle w:val="Prrafodelista"/>
        <w:autoSpaceDE w:val="0"/>
        <w:autoSpaceDN w:val="0"/>
        <w:adjustRightInd w:val="0"/>
        <w:jc w:val="both"/>
        <w:rPr>
          <w:rFonts w:ascii="Arial" w:hAnsi="Arial" w:cs="Arial"/>
          <w:sz w:val="24"/>
        </w:rPr>
      </w:pPr>
      <w:r w:rsidRPr="00CE023D">
        <w:rPr>
          <w:rFonts w:ascii="Arial" w:hAnsi="Arial" w:cs="Arial"/>
          <w:sz w:val="24"/>
        </w:rPr>
        <w:t xml:space="preserve">El plazo para entregar el informe de avalúo es de treinta (30) días hábiles después de la recepción de toda la documentación y visita al bien, </w:t>
      </w:r>
      <w:r w:rsidR="0006032B" w:rsidRPr="00CE023D">
        <w:rPr>
          <w:rFonts w:ascii="Arial" w:hAnsi="Arial" w:cs="Arial"/>
          <w:sz w:val="24"/>
        </w:rPr>
        <w:t xml:space="preserve">(Artículo 13° del </w:t>
      </w:r>
      <w:r w:rsidR="008849AE">
        <w:rPr>
          <w:rFonts w:ascii="Arial" w:hAnsi="Arial" w:cs="Arial"/>
          <w:sz w:val="24"/>
        </w:rPr>
        <w:t>Decreto</w:t>
      </w:r>
      <w:r w:rsidR="0006032B" w:rsidRPr="00CE023D">
        <w:rPr>
          <w:rFonts w:ascii="Arial" w:hAnsi="Arial" w:cs="Arial"/>
          <w:sz w:val="24"/>
        </w:rPr>
        <w:t xml:space="preserve"> 1420 de 1998)</w:t>
      </w:r>
    </w:p>
    <w:p w:rsidR="00BE275A" w:rsidRPr="00CE023D" w:rsidRDefault="00327869" w:rsidP="00BE275A">
      <w:pPr>
        <w:pStyle w:val="Default"/>
        <w:numPr>
          <w:ilvl w:val="0"/>
          <w:numId w:val="3"/>
        </w:numPr>
        <w:spacing w:before="100" w:beforeAutospacing="1" w:after="100" w:afterAutospacing="1"/>
        <w:ind w:left="0" w:firstLine="0"/>
        <w:rPr>
          <w:b/>
          <w:bCs/>
          <w:sz w:val="32"/>
          <w:szCs w:val="22"/>
        </w:rPr>
      </w:pPr>
      <w:r>
        <w:rPr>
          <w:b/>
          <w:bCs/>
          <w:sz w:val="32"/>
          <w:szCs w:val="22"/>
        </w:rPr>
        <w:t>METODOLOGIA:</w:t>
      </w:r>
    </w:p>
    <w:p w:rsidR="004153A0" w:rsidRPr="00CE023D" w:rsidRDefault="004153A0" w:rsidP="00BE275A">
      <w:pPr>
        <w:pStyle w:val="NormalWeb"/>
        <w:numPr>
          <w:ilvl w:val="0"/>
          <w:numId w:val="7"/>
        </w:numPr>
        <w:spacing w:before="0" w:beforeAutospacing="0" w:after="0" w:afterAutospacing="0"/>
        <w:jc w:val="both"/>
        <w:rPr>
          <w:rFonts w:ascii="Arial" w:hAnsi="Arial" w:cs="Arial"/>
          <w:color w:val="000000"/>
        </w:rPr>
      </w:pPr>
      <w:r w:rsidRPr="00CE023D">
        <w:rPr>
          <w:rFonts w:ascii="Arial" w:hAnsi="Arial" w:cs="Arial"/>
          <w:color w:val="000000"/>
        </w:rPr>
        <w:t xml:space="preserve">En todo momento se </w:t>
      </w:r>
      <w:r w:rsidR="003944D2" w:rsidRPr="00CE023D">
        <w:rPr>
          <w:rFonts w:ascii="Arial" w:hAnsi="Arial" w:cs="Arial"/>
          <w:color w:val="000000"/>
        </w:rPr>
        <w:t>aplicarán</w:t>
      </w:r>
      <w:r w:rsidRPr="00CE023D">
        <w:rPr>
          <w:rFonts w:ascii="Arial" w:hAnsi="Arial" w:cs="Arial"/>
          <w:color w:val="000000"/>
        </w:rPr>
        <w:t xml:space="preserve"> los lineamientos esforzados en la Resolución IGAC 620 de 2008, en cuanto a métodos valuatorios a utilizar.</w:t>
      </w:r>
    </w:p>
    <w:p w:rsidR="00BE275A" w:rsidRPr="00CE023D" w:rsidRDefault="00BE275A" w:rsidP="00BE275A">
      <w:pPr>
        <w:pStyle w:val="NormalWeb"/>
        <w:numPr>
          <w:ilvl w:val="0"/>
          <w:numId w:val="7"/>
        </w:numPr>
        <w:spacing w:before="0" w:beforeAutospacing="0" w:after="0" w:afterAutospacing="0"/>
        <w:jc w:val="both"/>
        <w:rPr>
          <w:rFonts w:ascii="Arial" w:hAnsi="Arial" w:cs="Arial"/>
          <w:color w:val="000000"/>
        </w:rPr>
      </w:pPr>
      <w:r w:rsidRPr="00CE023D">
        <w:rPr>
          <w:rFonts w:ascii="Arial" w:hAnsi="Arial" w:cs="Arial"/>
          <w:color w:val="000000"/>
        </w:rPr>
        <w:t>Se practicará visita de inspección ocular para verificar estado del inmueble, su existencia, localización, topografía, área, uso actual del suelo, vías de comunicación, infraestructura disponible y su estado, además de todos los demás datos que tengan que ver con el valor de dichos activos.</w:t>
      </w:r>
    </w:p>
    <w:p w:rsidR="00BE275A" w:rsidRPr="00CE023D" w:rsidRDefault="00BE275A" w:rsidP="00BE275A">
      <w:pPr>
        <w:pStyle w:val="NormalWeb"/>
        <w:numPr>
          <w:ilvl w:val="0"/>
          <w:numId w:val="7"/>
        </w:numPr>
        <w:spacing w:before="0" w:beforeAutospacing="0" w:after="0" w:afterAutospacing="0"/>
        <w:jc w:val="both"/>
        <w:rPr>
          <w:rFonts w:ascii="Arial" w:hAnsi="Arial" w:cs="Arial"/>
          <w:color w:val="000000"/>
        </w:rPr>
      </w:pPr>
      <w:r w:rsidRPr="00CE023D">
        <w:rPr>
          <w:rFonts w:ascii="Arial" w:hAnsi="Arial" w:cs="Arial"/>
          <w:color w:val="000000"/>
        </w:rPr>
        <w:t>Se analizarán los documentos de propiedad, listados y demás información, para comparar con los datos obtenidos en la visita de inspección ocular.</w:t>
      </w:r>
    </w:p>
    <w:p w:rsidR="00BE275A" w:rsidRPr="00CE023D" w:rsidRDefault="00BE275A" w:rsidP="00A65034">
      <w:pPr>
        <w:pStyle w:val="NormalWeb"/>
        <w:numPr>
          <w:ilvl w:val="0"/>
          <w:numId w:val="7"/>
        </w:numPr>
        <w:spacing w:before="0" w:beforeAutospacing="0" w:after="0" w:afterAutospacing="0"/>
        <w:jc w:val="both"/>
        <w:rPr>
          <w:rFonts w:ascii="Arial" w:hAnsi="Arial" w:cs="Arial"/>
          <w:color w:val="000000"/>
        </w:rPr>
      </w:pPr>
      <w:r w:rsidRPr="00CE023D">
        <w:rPr>
          <w:rFonts w:ascii="Arial" w:hAnsi="Arial" w:cs="Arial"/>
          <w:color w:val="000000"/>
        </w:rPr>
        <w:t xml:space="preserve">El método </w:t>
      </w:r>
      <w:r w:rsidR="0083382E" w:rsidRPr="00CE023D">
        <w:rPr>
          <w:rFonts w:ascii="Arial" w:hAnsi="Arial" w:cs="Arial"/>
          <w:color w:val="000000"/>
        </w:rPr>
        <w:t>Valuatorio</w:t>
      </w:r>
      <w:r w:rsidRPr="00CE023D">
        <w:rPr>
          <w:rFonts w:ascii="Arial" w:hAnsi="Arial" w:cs="Arial"/>
          <w:color w:val="000000"/>
        </w:rPr>
        <w:t xml:space="preserve"> en ese caso está indicado en el artículo 1, 2, 10, 11, además del 3°, 4°, 13°, 14° Y 15° de la Resolución (IGAC) 620 de 2008, Método de </w:t>
      </w:r>
      <w:r w:rsidR="00AB6A56" w:rsidRPr="00CE023D">
        <w:rPr>
          <w:rFonts w:ascii="Arial" w:hAnsi="Arial" w:cs="Arial"/>
          <w:color w:val="000000"/>
        </w:rPr>
        <w:t>Mercado o comparación y de Renta</w:t>
      </w:r>
      <w:r w:rsidRPr="00CE023D">
        <w:rPr>
          <w:rFonts w:ascii="Arial" w:hAnsi="Arial" w:cs="Arial"/>
          <w:color w:val="000000"/>
        </w:rPr>
        <w:t xml:space="preserve"> además del Método de Costo de Reposic</w:t>
      </w:r>
      <w:r w:rsidR="00AB6A56" w:rsidRPr="00CE023D">
        <w:rPr>
          <w:rFonts w:ascii="Arial" w:hAnsi="Arial" w:cs="Arial"/>
          <w:color w:val="000000"/>
        </w:rPr>
        <w:t>ión y Método (Técnica) Residual en el caso que sea necesario.</w:t>
      </w:r>
    </w:p>
    <w:p w:rsidR="00BE275A" w:rsidRPr="00CE023D" w:rsidRDefault="00BE275A" w:rsidP="00A65034">
      <w:pPr>
        <w:pStyle w:val="NormalWeb"/>
        <w:numPr>
          <w:ilvl w:val="0"/>
          <w:numId w:val="7"/>
        </w:numPr>
        <w:spacing w:before="0" w:beforeAutospacing="0" w:after="0" w:afterAutospacing="0"/>
        <w:jc w:val="both"/>
        <w:rPr>
          <w:rFonts w:ascii="Arial" w:hAnsi="Arial" w:cs="Arial"/>
          <w:color w:val="000000"/>
        </w:rPr>
      </w:pPr>
      <w:r w:rsidRPr="00CE023D">
        <w:rPr>
          <w:rFonts w:ascii="Arial" w:hAnsi="Arial" w:cs="Arial"/>
          <w:color w:val="000000"/>
        </w:rPr>
        <w:t xml:space="preserve">Se elaborará y </w:t>
      </w:r>
      <w:r w:rsidR="00AB6A56" w:rsidRPr="00CE023D">
        <w:rPr>
          <w:rFonts w:ascii="Arial" w:hAnsi="Arial" w:cs="Arial"/>
          <w:color w:val="000000"/>
        </w:rPr>
        <w:t>entregará</w:t>
      </w:r>
      <w:r w:rsidRPr="00CE023D">
        <w:rPr>
          <w:rFonts w:ascii="Arial" w:hAnsi="Arial" w:cs="Arial"/>
          <w:color w:val="000000"/>
        </w:rPr>
        <w:t xml:space="preserve"> un informe que contenga los datos obtenidos, consideraciones y valores hallados, y un informe </w:t>
      </w:r>
      <w:r w:rsidR="008D0BDE" w:rsidRPr="00CE023D">
        <w:rPr>
          <w:rFonts w:ascii="Arial" w:hAnsi="Arial" w:cs="Arial"/>
          <w:color w:val="000000"/>
        </w:rPr>
        <w:t>Valuatorio</w:t>
      </w:r>
      <w:r w:rsidR="0066698E" w:rsidRPr="00CE023D">
        <w:rPr>
          <w:rFonts w:ascii="Arial" w:hAnsi="Arial" w:cs="Arial"/>
          <w:color w:val="000000"/>
        </w:rPr>
        <w:t xml:space="preserve"> bajo norma </w:t>
      </w:r>
      <w:r w:rsidR="0066698E" w:rsidRPr="00CE023D">
        <w:rPr>
          <w:rFonts w:ascii="Arial" w:hAnsi="Arial" w:cs="Arial"/>
          <w:color w:val="000000"/>
        </w:rPr>
        <w:lastRenderedPageBreak/>
        <w:t xml:space="preserve">ICONTEC NTS I01, incluyendo </w:t>
      </w:r>
      <w:r w:rsidRPr="00CE023D">
        <w:rPr>
          <w:rFonts w:ascii="Arial" w:hAnsi="Arial" w:cs="Arial"/>
          <w:color w:val="000000"/>
        </w:rPr>
        <w:t>un registro fotográfico ilustrativo que apoye la comprensión de los informes escritos (Articulo 6, numeral 6 Resolución IGAC. 620 de 2008).</w:t>
      </w:r>
    </w:p>
    <w:p w:rsidR="00BE275A" w:rsidRPr="00CE023D" w:rsidRDefault="00327869" w:rsidP="00BE275A">
      <w:pPr>
        <w:pStyle w:val="Default"/>
        <w:numPr>
          <w:ilvl w:val="0"/>
          <w:numId w:val="3"/>
        </w:numPr>
        <w:spacing w:before="100" w:beforeAutospacing="1" w:after="100" w:afterAutospacing="1"/>
        <w:ind w:left="0" w:firstLine="0"/>
        <w:rPr>
          <w:b/>
          <w:bCs/>
          <w:sz w:val="32"/>
          <w:szCs w:val="22"/>
        </w:rPr>
      </w:pPr>
      <w:r>
        <w:rPr>
          <w:b/>
          <w:bCs/>
          <w:sz w:val="32"/>
          <w:szCs w:val="22"/>
        </w:rPr>
        <w:t>FORMA DE PAGO</w:t>
      </w:r>
      <w:r w:rsidR="00BE275A" w:rsidRPr="00CE023D">
        <w:rPr>
          <w:b/>
          <w:bCs/>
          <w:sz w:val="32"/>
          <w:szCs w:val="22"/>
        </w:rPr>
        <w:t xml:space="preserve">: </w:t>
      </w:r>
    </w:p>
    <w:p w:rsidR="00BE275A" w:rsidRDefault="00BE275A" w:rsidP="004A1973">
      <w:pPr>
        <w:pStyle w:val="Prrafodelista"/>
        <w:autoSpaceDE w:val="0"/>
        <w:autoSpaceDN w:val="0"/>
        <w:adjustRightInd w:val="0"/>
        <w:jc w:val="both"/>
        <w:rPr>
          <w:rFonts w:ascii="Arial" w:hAnsi="Arial" w:cs="Arial"/>
          <w:sz w:val="24"/>
        </w:rPr>
      </w:pPr>
      <w:r w:rsidRPr="00CE023D">
        <w:rPr>
          <w:rFonts w:ascii="Arial" w:hAnsi="Arial" w:cs="Arial"/>
          <w:sz w:val="24"/>
        </w:rPr>
        <w:t>SOLICITANTE/CONTRATANTE, pagará al AV</w:t>
      </w:r>
      <w:r w:rsidR="00F40862" w:rsidRPr="00CE023D">
        <w:rPr>
          <w:rFonts w:ascii="Arial" w:hAnsi="Arial" w:cs="Arial"/>
          <w:sz w:val="24"/>
        </w:rPr>
        <w:t xml:space="preserve">ALUADOR el valor del </w:t>
      </w:r>
      <w:r w:rsidR="00A13326" w:rsidRPr="00A13326">
        <w:rPr>
          <w:rFonts w:ascii="Arial" w:hAnsi="Arial" w:cs="Arial"/>
          <w:sz w:val="24"/>
          <w:highlight w:val="yellow"/>
        </w:rPr>
        <w:t>&lt;</w:t>
      </w:r>
      <w:r w:rsidR="00F40862" w:rsidRPr="00A13326">
        <w:rPr>
          <w:rFonts w:ascii="Arial" w:hAnsi="Arial" w:cs="Arial"/>
          <w:sz w:val="24"/>
          <w:highlight w:val="yellow"/>
        </w:rPr>
        <w:t>5</w:t>
      </w:r>
      <w:r w:rsidRPr="00A13326">
        <w:rPr>
          <w:rFonts w:ascii="Arial" w:hAnsi="Arial" w:cs="Arial"/>
          <w:sz w:val="24"/>
          <w:highlight w:val="yellow"/>
        </w:rPr>
        <w:t>0%</w:t>
      </w:r>
      <w:r w:rsidR="00A13326" w:rsidRPr="00A13326">
        <w:rPr>
          <w:rFonts w:ascii="Arial" w:hAnsi="Arial" w:cs="Arial"/>
          <w:sz w:val="24"/>
          <w:highlight w:val="yellow"/>
        </w:rPr>
        <w:t>&gt;</w:t>
      </w:r>
      <w:r w:rsidRPr="00CE023D">
        <w:rPr>
          <w:rFonts w:ascii="Arial" w:hAnsi="Arial" w:cs="Arial"/>
          <w:sz w:val="24"/>
        </w:rPr>
        <w:t xml:space="preserve"> del Valor total pactado como anticipo</w:t>
      </w:r>
      <w:r w:rsidR="002D0AF0" w:rsidRPr="00CE023D">
        <w:rPr>
          <w:rFonts w:ascii="Arial" w:hAnsi="Arial" w:cs="Arial"/>
          <w:sz w:val="24"/>
        </w:rPr>
        <w:t xml:space="preserve"> de todos los ítems aquí cotizados o por cada ítem por separado, una vez se concilie </w:t>
      </w:r>
      <w:r w:rsidR="009B67D0">
        <w:rPr>
          <w:rFonts w:ascii="Arial" w:hAnsi="Arial" w:cs="Arial"/>
          <w:sz w:val="24"/>
        </w:rPr>
        <w:t>y se perfeccione la propuesta</w:t>
      </w:r>
      <w:r w:rsidR="0083382E" w:rsidRPr="00CE023D">
        <w:rPr>
          <w:rFonts w:ascii="Arial" w:hAnsi="Arial" w:cs="Arial"/>
          <w:sz w:val="24"/>
        </w:rPr>
        <w:t xml:space="preserve">, </w:t>
      </w:r>
      <w:r w:rsidR="002D0AF0" w:rsidRPr="00CE023D">
        <w:rPr>
          <w:rFonts w:ascii="Arial" w:hAnsi="Arial" w:cs="Arial"/>
          <w:sz w:val="24"/>
        </w:rPr>
        <w:t xml:space="preserve">esto con lo que </w:t>
      </w:r>
      <w:r w:rsidR="0083382E" w:rsidRPr="00CE023D">
        <w:rPr>
          <w:rFonts w:ascii="Arial" w:hAnsi="Arial" w:cs="Arial"/>
          <w:sz w:val="24"/>
        </w:rPr>
        <w:t xml:space="preserve">corresponda a servicios Valuatorios, y </w:t>
      </w:r>
      <w:r w:rsidR="00F40862" w:rsidRPr="00CE023D">
        <w:rPr>
          <w:rFonts w:ascii="Arial" w:hAnsi="Arial" w:cs="Arial"/>
          <w:sz w:val="24"/>
        </w:rPr>
        <w:t xml:space="preserve">el </w:t>
      </w:r>
      <w:r w:rsidR="00A13326">
        <w:rPr>
          <w:rFonts w:ascii="Arial" w:hAnsi="Arial" w:cs="Arial"/>
          <w:sz w:val="24"/>
        </w:rPr>
        <w:t xml:space="preserve">Porcentaje restante </w:t>
      </w:r>
      <w:r w:rsidRPr="00CE023D">
        <w:rPr>
          <w:rFonts w:ascii="Arial" w:hAnsi="Arial" w:cs="Arial"/>
          <w:sz w:val="24"/>
        </w:rPr>
        <w:t xml:space="preserve">de lo contratado cuando </w:t>
      </w:r>
      <w:r w:rsidR="00A13326">
        <w:rPr>
          <w:rFonts w:ascii="Arial" w:hAnsi="Arial" w:cs="Arial"/>
          <w:sz w:val="24"/>
        </w:rPr>
        <w:t xml:space="preserve">se </w:t>
      </w:r>
      <w:r w:rsidRPr="00CE023D">
        <w:rPr>
          <w:rFonts w:ascii="Arial" w:hAnsi="Arial" w:cs="Arial"/>
          <w:sz w:val="24"/>
        </w:rPr>
        <w:t xml:space="preserve">entregue el Avalúo </w:t>
      </w:r>
      <w:r w:rsidR="00A2059A">
        <w:rPr>
          <w:rFonts w:ascii="Arial" w:hAnsi="Arial" w:cs="Arial"/>
          <w:sz w:val="24"/>
        </w:rPr>
        <w:t xml:space="preserve">del bien </w:t>
      </w:r>
      <w:r w:rsidRPr="00CE023D">
        <w:rPr>
          <w:rFonts w:ascii="Arial" w:hAnsi="Arial" w:cs="Arial"/>
          <w:sz w:val="24"/>
        </w:rPr>
        <w:t xml:space="preserve">en </w:t>
      </w:r>
      <w:r w:rsidR="002D0AF0" w:rsidRPr="00CE023D">
        <w:rPr>
          <w:rFonts w:ascii="Arial" w:hAnsi="Arial" w:cs="Arial"/>
          <w:sz w:val="24"/>
        </w:rPr>
        <w:t>un</w:t>
      </w:r>
      <w:r w:rsidRPr="00CE023D">
        <w:rPr>
          <w:rFonts w:ascii="Arial" w:hAnsi="Arial" w:cs="Arial"/>
          <w:sz w:val="24"/>
        </w:rPr>
        <w:t xml:space="preserve"> Informe Técnico de Avalúo en forma física </w:t>
      </w:r>
      <w:r w:rsidR="002D0AF0" w:rsidRPr="00CE023D">
        <w:rPr>
          <w:rFonts w:ascii="Arial" w:hAnsi="Arial" w:cs="Arial"/>
          <w:sz w:val="24"/>
        </w:rPr>
        <w:t>firmado</w:t>
      </w:r>
      <w:r w:rsidR="00A2059A">
        <w:rPr>
          <w:rFonts w:ascii="Arial" w:hAnsi="Arial" w:cs="Arial"/>
          <w:sz w:val="24"/>
        </w:rPr>
        <w:t xml:space="preserve"> o refrendado</w:t>
      </w:r>
      <w:r w:rsidR="002D0AF0" w:rsidRPr="00CE023D">
        <w:rPr>
          <w:rFonts w:ascii="Arial" w:hAnsi="Arial" w:cs="Arial"/>
          <w:sz w:val="24"/>
        </w:rPr>
        <w:t xml:space="preserve"> </w:t>
      </w:r>
      <w:r w:rsidRPr="00CE023D">
        <w:rPr>
          <w:rFonts w:ascii="Arial" w:hAnsi="Arial" w:cs="Arial"/>
          <w:sz w:val="24"/>
        </w:rPr>
        <w:t>y en medio digital</w:t>
      </w:r>
      <w:r w:rsidR="002D0AF0" w:rsidRPr="00CE023D">
        <w:rPr>
          <w:rFonts w:ascii="Arial" w:hAnsi="Arial" w:cs="Arial"/>
          <w:sz w:val="24"/>
        </w:rPr>
        <w:t xml:space="preserve"> (no firmado</w:t>
      </w:r>
      <w:r w:rsidR="00A2059A">
        <w:rPr>
          <w:rFonts w:ascii="Arial" w:hAnsi="Arial" w:cs="Arial"/>
          <w:sz w:val="24"/>
        </w:rPr>
        <w:t xml:space="preserve"> o refrendado</w:t>
      </w:r>
      <w:r w:rsidR="002D0AF0" w:rsidRPr="00CE023D">
        <w:rPr>
          <w:rFonts w:ascii="Arial" w:hAnsi="Arial" w:cs="Arial"/>
          <w:sz w:val="24"/>
        </w:rPr>
        <w:t>)</w:t>
      </w:r>
      <w:r w:rsidRPr="00CE023D">
        <w:rPr>
          <w:rFonts w:ascii="Arial" w:hAnsi="Arial" w:cs="Arial"/>
          <w:sz w:val="24"/>
        </w:rPr>
        <w:t xml:space="preserve">, previo cumplimiento de la presentación de la cuenta de cobro, validado al entregar una copia del respectivo RUT, (Art. 2º de la </w:t>
      </w:r>
      <w:r w:rsidR="008849AE">
        <w:rPr>
          <w:rFonts w:ascii="Arial" w:hAnsi="Arial" w:cs="Arial"/>
          <w:sz w:val="24"/>
        </w:rPr>
        <w:t>Ley</w:t>
      </w:r>
      <w:r w:rsidRPr="00CE023D">
        <w:rPr>
          <w:rFonts w:ascii="Arial" w:hAnsi="Arial" w:cs="Arial"/>
          <w:sz w:val="24"/>
        </w:rPr>
        <w:t xml:space="preserve"> 1231 de 2008).</w:t>
      </w:r>
      <w:r w:rsidR="00A371ED">
        <w:rPr>
          <w:rFonts w:ascii="Arial" w:hAnsi="Arial" w:cs="Arial"/>
          <w:sz w:val="24"/>
        </w:rPr>
        <w:t xml:space="preserve"> El valor aquí pactado es antes de IVA (Impuesto de valor Agregado) en cuyo caso se liquida siempre y cuando el Valuador sea responsable </w:t>
      </w:r>
      <w:r w:rsidR="00B812CC">
        <w:rPr>
          <w:rFonts w:ascii="Arial" w:hAnsi="Arial" w:cs="Arial"/>
          <w:sz w:val="24"/>
        </w:rPr>
        <w:t>de ello (Decreto 2702 de 2013 o Estatuto Tributario)</w:t>
      </w:r>
    </w:p>
    <w:p w:rsidR="00AE0078" w:rsidRDefault="00AE0078" w:rsidP="004A1973">
      <w:pPr>
        <w:pStyle w:val="Prrafodelista"/>
        <w:autoSpaceDE w:val="0"/>
        <w:autoSpaceDN w:val="0"/>
        <w:adjustRightInd w:val="0"/>
        <w:jc w:val="both"/>
        <w:rPr>
          <w:rFonts w:ascii="Arial" w:hAnsi="Arial" w:cs="Arial"/>
          <w:sz w:val="24"/>
        </w:rPr>
      </w:pPr>
    </w:p>
    <w:p w:rsidR="00AE0078" w:rsidRDefault="00AE0078" w:rsidP="004A1973">
      <w:pPr>
        <w:pStyle w:val="Prrafodelista"/>
        <w:autoSpaceDE w:val="0"/>
        <w:autoSpaceDN w:val="0"/>
        <w:adjustRightInd w:val="0"/>
        <w:jc w:val="both"/>
        <w:rPr>
          <w:rFonts w:ascii="Arial" w:hAnsi="Arial" w:cs="Arial"/>
          <w:sz w:val="24"/>
        </w:rPr>
      </w:pPr>
    </w:p>
    <w:p w:rsidR="00AE0078" w:rsidRPr="00CE023D" w:rsidRDefault="00AE0078" w:rsidP="004A1973">
      <w:pPr>
        <w:pStyle w:val="Prrafodelista"/>
        <w:autoSpaceDE w:val="0"/>
        <w:autoSpaceDN w:val="0"/>
        <w:adjustRightInd w:val="0"/>
        <w:jc w:val="both"/>
        <w:rPr>
          <w:rFonts w:ascii="Arial" w:hAnsi="Arial" w:cs="Arial"/>
          <w:sz w:val="24"/>
        </w:rPr>
      </w:pPr>
    </w:p>
    <w:p w:rsidR="004A1973" w:rsidRPr="00CE023D" w:rsidRDefault="002B6832" w:rsidP="007E3F56">
      <w:pPr>
        <w:pStyle w:val="Default"/>
        <w:numPr>
          <w:ilvl w:val="0"/>
          <w:numId w:val="3"/>
        </w:numPr>
        <w:spacing w:before="100" w:beforeAutospacing="1" w:after="100" w:afterAutospacing="1"/>
        <w:ind w:left="709" w:hanging="709"/>
        <w:rPr>
          <w:b/>
          <w:bCs/>
          <w:sz w:val="32"/>
          <w:szCs w:val="22"/>
        </w:rPr>
      </w:pPr>
      <w:r w:rsidRPr="00CE023D">
        <w:rPr>
          <w:b/>
          <w:bCs/>
          <w:sz w:val="32"/>
          <w:szCs w:val="22"/>
        </w:rPr>
        <w:t>R.A.A.</w:t>
      </w:r>
      <w:r w:rsidR="004A1973" w:rsidRPr="00CE023D">
        <w:rPr>
          <w:b/>
          <w:bCs/>
          <w:sz w:val="32"/>
          <w:szCs w:val="22"/>
        </w:rPr>
        <w:t xml:space="preserve"> </w:t>
      </w:r>
      <w:r w:rsidR="0066698E" w:rsidRPr="00CE023D">
        <w:rPr>
          <w:b/>
          <w:bCs/>
          <w:sz w:val="32"/>
          <w:szCs w:val="22"/>
        </w:rPr>
        <w:t>REGISTRO ABIERTO DE AVALUADOR</w:t>
      </w:r>
      <w:r w:rsidR="00327869">
        <w:rPr>
          <w:b/>
          <w:bCs/>
          <w:sz w:val="32"/>
          <w:szCs w:val="22"/>
        </w:rPr>
        <w:t>:</w:t>
      </w:r>
    </w:p>
    <w:p w:rsidR="008D0BDE" w:rsidRPr="00A65034" w:rsidRDefault="004A1973" w:rsidP="00886A07">
      <w:pPr>
        <w:pStyle w:val="Prrafodelista"/>
        <w:autoSpaceDE w:val="0"/>
        <w:autoSpaceDN w:val="0"/>
        <w:adjustRightInd w:val="0"/>
        <w:spacing w:after="100" w:afterAutospacing="1"/>
        <w:jc w:val="both"/>
        <w:rPr>
          <w:rFonts w:ascii="Arial" w:hAnsi="Arial" w:cs="Arial"/>
          <w:sz w:val="24"/>
        </w:rPr>
      </w:pPr>
      <w:r w:rsidRPr="00A65034">
        <w:rPr>
          <w:rFonts w:ascii="Arial" w:hAnsi="Arial" w:cs="Arial"/>
          <w:sz w:val="24"/>
        </w:rPr>
        <w:t xml:space="preserve">Se Anexa, documento </w:t>
      </w:r>
      <w:r w:rsidR="008D0BDE" w:rsidRPr="00A65034">
        <w:rPr>
          <w:rFonts w:ascii="Arial" w:hAnsi="Arial" w:cs="Arial"/>
          <w:sz w:val="24"/>
        </w:rPr>
        <w:t xml:space="preserve">actualizado </w:t>
      </w:r>
      <w:r w:rsidRPr="00A65034">
        <w:rPr>
          <w:rFonts w:ascii="Arial" w:hAnsi="Arial" w:cs="Arial"/>
          <w:sz w:val="24"/>
        </w:rPr>
        <w:t xml:space="preserve">que certifica pertenecer al Registro </w:t>
      </w:r>
      <w:r w:rsidR="008D0BDE" w:rsidRPr="00A65034">
        <w:rPr>
          <w:rFonts w:ascii="Arial" w:hAnsi="Arial" w:cs="Arial"/>
          <w:sz w:val="24"/>
        </w:rPr>
        <w:t>A</w:t>
      </w:r>
      <w:r w:rsidR="002B6832" w:rsidRPr="00A65034">
        <w:rPr>
          <w:rFonts w:ascii="Arial" w:hAnsi="Arial" w:cs="Arial"/>
          <w:sz w:val="24"/>
        </w:rPr>
        <w:t xml:space="preserve">bierto de </w:t>
      </w:r>
      <w:proofErr w:type="spellStart"/>
      <w:r w:rsidR="002B6832" w:rsidRPr="00A65034">
        <w:rPr>
          <w:rFonts w:ascii="Arial" w:hAnsi="Arial" w:cs="Arial"/>
          <w:sz w:val="24"/>
        </w:rPr>
        <w:t>Avaluador</w:t>
      </w:r>
      <w:proofErr w:type="spellEnd"/>
      <w:r w:rsidR="00DD2D2F">
        <w:rPr>
          <w:rFonts w:ascii="Arial" w:hAnsi="Arial" w:cs="Arial"/>
          <w:sz w:val="24"/>
        </w:rPr>
        <w:t>.</w:t>
      </w:r>
    </w:p>
    <w:p w:rsidR="00543676" w:rsidRDefault="00543676" w:rsidP="00886A07">
      <w:pPr>
        <w:pStyle w:val="Prrafodelista"/>
        <w:autoSpaceDE w:val="0"/>
        <w:autoSpaceDN w:val="0"/>
        <w:adjustRightInd w:val="0"/>
        <w:spacing w:after="100" w:afterAutospacing="1"/>
        <w:jc w:val="both"/>
        <w:rPr>
          <w:rFonts w:ascii="Arial" w:hAnsi="Arial" w:cs="Arial"/>
        </w:rPr>
      </w:pPr>
    </w:p>
    <w:p w:rsidR="00543676" w:rsidRPr="00A65034" w:rsidRDefault="00543676" w:rsidP="00886A07">
      <w:pPr>
        <w:pStyle w:val="Prrafodelista"/>
        <w:autoSpaceDE w:val="0"/>
        <w:autoSpaceDN w:val="0"/>
        <w:adjustRightInd w:val="0"/>
        <w:spacing w:after="100" w:afterAutospacing="1"/>
        <w:jc w:val="both"/>
        <w:rPr>
          <w:rFonts w:ascii="Arial" w:hAnsi="Arial" w:cs="Arial"/>
          <w:i/>
          <w:sz w:val="24"/>
        </w:rPr>
      </w:pPr>
      <w:r w:rsidRPr="00A65034">
        <w:rPr>
          <w:rFonts w:ascii="Arial" w:hAnsi="Arial" w:cs="Arial"/>
          <w:i/>
          <w:sz w:val="24"/>
        </w:rPr>
        <w:t>Artículo 7° Territorio. El avaluador inscrito ante el Registro Abierto de Avaluadores podrá ejercer su actividad en todo el territorio nacional</w:t>
      </w:r>
    </w:p>
    <w:p w:rsidR="00E16881" w:rsidRDefault="008849AE" w:rsidP="00886A07">
      <w:pPr>
        <w:pStyle w:val="Prrafodelista"/>
        <w:autoSpaceDE w:val="0"/>
        <w:autoSpaceDN w:val="0"/>
        <w:adjustRightInd w:val="0"/>
        <w:spacing w:after="100" w:afterAutospacing="1"/>
        <w:jc w:val="right"/>
        <w:rPr>
          <w:rFonts w:ascii="Arial" w:hAnsi="Arial" w:cs="Arial"/>
          <w:b/>
          <w:sz w:val="18"/>
        </w:rPr>
      </w:pPr>
      <w:r>
        <w:rPr>
          <w:rFonts w:ascii="Arial" w:hAnsi="Arial" w:cs="Arial"/>
          <w:b/>
          <w:sz w:val="18"/>
        </w:rPr>
        <w:t>LEY</w:t>
      </w:r>
      <w:r w:rsidR="00E16881" w:rsidRPr="00CE023D">
        <w:rPr>
          <w:rFonts w:ascii="Arial" w:hAnsi="Arial" w:cs="Arial"/>
          <w:b/>
          <w:sz w:val="18"/>
        </w:rPr>
        <w:t xml:space="preserve"> 1673 DEL 2013</w:t>
      </w:r>
    </w:p>
    <w:p w:rsidR="00BE275A" w:rsidRPr="00CE023D" w:rsidRDefault="00327869" w:rsidP="00BE275A">
      <w:pPr>
        <w:pStyle w:val="Default"/>
        <w:numPr>
          <w:ilvl w:val="0"/>
          <w:numId w:val="3"/>
        </w:numPr>
        <w:spacing w:before="100" w:beforeAutospacing="1" w:after="100" w:afterAutospacing="1"/>
        <w:ind w:left="0" w:firstLine="0"/>
        <w:rPr>
          <w:b/>
          <w:bCs/>
          <w:sz w:val="32"/>
          <w:szCs w:val="22"/>
        </w:rPr>
      </w:pPr>
      <w:r>
        <w:rPr>
          <w:b/>
          <w:bCs/>
          <w:sz w:val="32"/>
          <w:szCs w:val="22"/>
        </w:rPr>
        <w:t>OBLIGACIONES DEL</w:t>
      </w:r>
      <w:r w:rsidR="00BE275A" w:rsidRPr="00CE023D">
        <w:rPr>
          <w:b/>
          <w:bCs/>
          <w:sz w:val="32"/>
          <w:szCs w:val="22"/>
        </w:rPr>
        <w:t xml:space="preserve"> AVALUADOR: </w:t>
      </w:r>
    </w:p>
    <w:p w:rsidR="00FE7A23" w:rsidRPr="00FE7A23" w:rsidRDefault="00BE275A" w:rsidP="00FE7A23">
      <w:pPr>
        <w:pStyle w:val="Prrafodelista"/>
        <w:autoSpaceDE w:val="0"/>
        <w:autoSpaceDN w:val="0"/>
        <w:adjustRightInd w:val="0"/>
        <w:spacing w:after="100" w:afterAutospacing="1"/>
        <w:jc w:val="both"/>
        <w:rPr>
          <w:rFonts w:ascii="Arial" w:hAnsi="Arial" w:cs="Arial"/>
          <w:sz w:val="24"/>
        </w:rPr>
      </w:pPr>
      <w:r w:rsidRPr="00FE7A23">
        <w:rPr>
          <w:rFonts w:ascii="Arial" w:hAnsi="Arial" w:cs="Arial"/>
          <w:sz w:val="24"/>
          <w:szCs w:val="20"/>
        </w:rPr>
        <w:t xml:space="preserve">En cumplimiento del objeto descrito anteriormente, se considera necesario el desarrollo de las siguientes actividades como requisito mínimo de carácter técnico: </w:t>
      </w:r>
    </w:p>
    <w:p w:rsidR="00787941" w:rsidRDefault="00787941" w:rsidP="00FE7A23">
      <w:pPr>
        <w:pStyle w:val="Default"/>
        <w:numPr>
          <w:ilvl w:val="0"/>
          <w:numId w:val="1"/>
        </w:numPr>
        <w:spacing w:after="100" w:afterAutospacing="1"/>
        <w:ind w:left="1134"/>
        <w:jc w:val="both"/>
        <w:rPr>
          <w:szCs w:val="20"/>
        </w:rPr>
      </w:pPr>
      <w:r>
        <w:rPr>
          <w:szCs w:val="20"/>
        </w:rPr>
        <w:t xml:space="preserve">Garantizar los derechos expuestos en el Estatuto del Consumidor al </w:t>
      </w:r>
      <w:r w:rsidRPr="00CE023D">
        <w:rPr>
          <w:szCs w:val="20"/>
        </w:rPr>
        <w:t>SOLICITANTE/CONTRATANTE</w:t>
      </w:r>
      <w:r>
        <w:rPr>
          <w:szCs w:val="20"/>
        </w:rPr>
        <w:t>. (Ley 1480 de 2011).</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Efectuar el avalúo comercial del predio objeto de estudio.</w:t>
      </w:r>
    </w:p>
    <w:p w:rsidR="00B2236B" w:rsidRPr="00CE023D" w:rsidRDefault="00B2236B" w:rsidP="00FE7A23">
      <w:pPr>
        <w:pStyle w:val="Default"/>
        <w:numPr>
          <w:ilvl w:val="0"/>
          <w:numId w:val="1"/>
        </w:numPr>
        <w:spacing w:after="100" w:afterAutospacing="1"/>
        <w:ind w:left="1134"/>
        <w:jc w:val="both"/>
        <w:rPr>
          <w:szCs w:val="20"/>
        </w:rPr>
      </w:pPr>
      <w:r w:rsidRPr="00CE023D">
        <w:rPr>
          <w:szCs w:val="20"/>
        </w:rPr>
        <w:t xml:space="preserve">Indicar el método valuatorio a utilizar según el tipo de inmueble y uso del suelo. (Artículo 20 del </w:t>
      </w:r>
      <w:r w:rsidR="008849AE">
        <w:rPr>
          <w:szCs w:val="20"/>
        </w:rPr>
        <w:t>Decreto</w:t>
      </w:r>
      <w:r w:rsidRPr="00CE023D">
        <w:rPr>
          <w:szCs w:val="20"/>
        </w:rPr>
        <w:t xml:space="preserve"> 1420 de 1998)</w:t>
      </w:r>
      <w:r w:rsidR="0004645B" w:rsidRPr="00CE023D">
        <w:rPr>
          <w:szCs w:val="20"/>
        </w:rPr>
        <w:t xml:space="preserve">, </w:t>
      </w:r>
      <w:r w:rsidR="0004645B" w:rsidRPr="00CE023D">
        <w:t xml:space="preserve">independizando el valor del </w:t>
      </w:r>
      <w:r w:rsidR="0004645B" w:rsidRPr="00CE023D">
        <w:lastRenderedPageBreak/>
        <w:t>suelo, el de las edificaciones y las mejoras si fuere el caso, y las consideraciones que llevaron a tal estimación.</w:t>
      </w:r>
    </w:p>
    <w:p w:rsidR="0004645B" w:rsidRPr="00CE023D" w:rsidRDefault="0004645B" w:rsidP="00FE7A23">
      <w:pPr>
        <w:pStyle w:val="Default"/>
        <w:numPr>
          <w:ilvl w:val="0"/>
          <w:numId w:val="1"/>
        </w:numPr>
        <w:spacing w:after="100" w:afterAutospacing="1"/>
        <w:ind w:left="1134"/>
        <w:jc w:val="both"/>
        <w:rPr>
          <w:szCs w:val="20"/>
        </w:rPr>
      </w:pPr>
      <w:r w:rsidRPr="00CE023D">
        <w:t xml:space="preserve">Tener en cuenta los parámetros para la determinación del valor comercial del inmueble a </w:t>
      </w:r>
      <w:r w:rsidR="006C1E69" w:rsidRPr="00CE023D">
        <w:t>valuar. (Artículo</w:t>
      </w:r>
      <w:r w:rsidRPr="00CE023D">
        <w:t xml:space="preserve"> 21 del </w:t>
      </w:r>
      <w:r w:rsidR="008849AE">
        <w:t>Decreto</w:t>
      </w:r>
      <w:r w:rsidRPr="00CE023D">
        <w:t xml:space="preserve"> 1420 de 1998)</w:t>
      </w:r>
      <w:r w:rsidR="006C1E69" w:rsidRPr="00CE023D">
        <w:t>.</w:t>
      </w:r>
    </w:p>
    <w:p w:rsidR="006C1E69" w:rsidRPr="00CE023D" w:rsidRDefault="006C1E69" w:rsidP="00FE7A23">
      <w:pPr>
        <w:pStyle w:val="Default"/>
        <w:numPr>
          <w:ilvl w:val="0"/>
          <w:numId w:val="1"/>
        </w:numPr>
        <w:spacing w:after="100" w:afterAutospacing="1"/>
        <w:ind w:left="1134"/>
        <w:jc w:val="both"/>
        <w:rPr>
          <w:szCs w:val="20"/>
        </w:rPr>
      </w:pPr>
      <w:r w:rsidRPr="00CE023D">
        <w:t xml:space="preserve">Tener en cuenta las características básicas para la determinación del valor comercial de los inmuebles. (Artículo 22 del </w:t>
      </w:r>
      <w:r w:rsidR="008849AE">
        <w:t>Decreto</w:t>
      </w:r>
      <w:r w:rsidRPr="00CE023D">
        <w:t xml:space="preserve"> 1420 de 1998)</w:t>
      </w:r>
      <w:r w:rsidR="00C57FEB">
        <w:t>.</w:t>
      </w:r>
    </w:p>
    <w:p w:rsidR="00E8355C" w:rsidRPr="00CE023D" w:rsidRDefault="00E8355C" w:rsidP="00FE7A23">
      <w:pPr>
        <w:pStyle w:val="Default"/>
        <w:numPr>
          <w:ilvl w:val="0"/>
          <w:numId w:val="1"/>
        </w:numPr>
        <w:spacing w:after="100" w:afterAutospacing="1"/>
        <w:ind w:left="1134"/>
        <w:jc w:val="both"/>
        <w:rPr>
          <w:szCs w:val="20"/>
        </w:rPr>
      </w:pPr>
      <w:r w:rsidRPr="00CE023D">
        <w:t>Definir si se puede aplicar varios métodos valuatorios, en dicho caso deberá el avaluador hacer las estimaciones pertinentes y sustentar el valor adoptado. (</w:t>
      </w:r>
      <w:r w:rsidR="004821F6" w:rsidRPr="00CE023D">
        <w:t>Artículo</w:t>
      </w:r>
      <w:r w:rsidRPr="00CE023D">
        <w:t xml:space="preserve"> 26 del </w:t>
      </w:r>
      <w:r w:rsidR="008849AE">
        <w:t>Decreto</w:t>
      </w:r>
      <w:r w:rsidRPr="00CE023D">
        <w:t xml:space="preserve"> 1420 de 1998)</w:t>
      </w:r>
      <w:r w:rsidR="003A2803" w:rsidRPr="00CE023D">
        <w:t>.</w:t>
      </w:r>
    </w:p>
    <w:p w:rsidR="003A2803" w:rsidRPr="00CE023D" w:rsidRDefault="003A2803" w:rsidP="00FE7A23">
      <w:pPr>
        <w:pStyle w:val="Default"/>
        <w:numPr>
          <w:ilvl w:val="0"/>
          <w:numId w:val="1"/>
        </w:numPr>
        <w:spacing w:after="100" w:afterAutospacing="1"/>
        <w:ind w:left="1134"/>
        <w:jc w:val="both"/>
        <w:rPr>
          <w:szCs w:val="20"/>
        </w:rPr>
      </w:pPr>
      <w:r w:rsidRPr="00CE023D">
        <w:t xml:space="preserve">No Realizar El avalúo si el inmueble cuente con obras de urbanización o construcciones </w:t>
      </w:r>
      <w:r w:rsidR="004821F6" w:rsidRPr="00CE023D">
        <w:t>adelantadas</w:t>
      </w:r>
      <w:r w:rsidR="00A95EF6">
        <w:t xml:space="preserve"> sin los permisos pertinentes</w:t>
      </w:r>
      <w:r w:rsidR="004821F6" w:rsidRPr="00CE023D">
        <w:t>. (Artículo</w:t>
      </w:r>
      <w:r w:rsidRPr="00CE023D">
        <w:t xml:space="preserve"> 30 del </w:t>
      </w:r>
      <w:r w:rsidR="008849AE">
        <w:t>Decreto</w:t>
      </w:r>
      <w:r w:rsidRPr="00CE023D">
        <w:t xml:space="preserve"> 1420 de 1998)</w:t>
      </w:r>
      <w:r w:rsidR="00C57FEB">
        <w:t>.</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Guardar la reserva de la información a la que tenga acceso y no podrá facilitar copia de los avalúos comerciales (salvo a las entidades de fiscalización, vigilancia y control), ni utilizarlos para fines de terceros sin la autorización expresa del SOLICITANTE/CONTRATANTE y responder por ellos de conformidad con las normas vigentes. </w:t>
      </w:r>
      <w:r w:rsidR="00A95EF6">
        <w:rPr>
          <w:szCs w:val="20"/>
        </w:rPr>
        <w:t>(</w:t>
      </w:r>
      <w:r w:rsidR="008C61F6">
        <w:rPr>
          <w:szCs w:val="20"/>
        </w:rPr>
        <w:t>Artículo 4°</w:t>
      </w:r>
      <w:r w:rsidR="009B0F35">
        <w:rPr>
          <w:szCs w:val="20"/>
        </w:rPr>
        <w:t>, Ley</w:t>
      </w:r>
      <w:r w:rsidR="00A95EF6">
        <w:rPr>
          <w:szCs w:val="20"/>
        </w:rPr>
        <w:t xml:space="preserve"> 1581 de 2012)</w:t>
      </w:r>
      <w:r w:rsidR="00C57FEB">
        <w:rPr>
          <w:szCs w:val="20"/>
        </w:rPr>
        <w:t>.</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Defender en todas las actuaciones los intereses del SOLICITANTE/CONTRATANTE y obrar con lealtad y buena fe en todas las etapas contractuales</w:t>
      </w:r>
      <w:r w:rsidR="009B0F35" w:rsidRPr="00CE023D">
        <w:rPr>
          <w:szCs w:val="20"/>
        </w:rPr>
        <w:t>.</w:t>
      </w:r>
      <w:r w:rsidR="009B0F35">
        <w:rPr>
          <w:szCs w:val="20"/>
        </w:rPr>
        <w:t xml:space="preserve"> (</w:t>
      </w:r>
      <w:r w:rsidR="007425F6">
        <w:rPr>
          <w:szCs w:val="20"/>
        </w:rPr>
        <w:t>Artículo 18° Ley 1581 de 2012)</w:t>
      </w:r>
      <w:r w:rsidR="00C57FEB">
        <w:rPr>
          <w:szCs w:val="20"/>
        </w:rPr>
        <w:t>.</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Informar oportunamente de cualquier petición o amenaza de quien actuando por fuera de la </w:t>
      </w:r>
      <w:r w:rsidR="008849AE">
        <w:rPr>
          <w:szCs w:val="20"/>
        </w:rPr>
        <w:t>Ley</w:t>
      </w:r>
      <w:r w:rsidRPr="00CE023D">
        <w:rPr>
          <w:szCs w:val="20"/>
        </w:rPr>
        <w:t xml:space="preserve"> pretenda obligarlo a hacer u omitir algún acto u ocultar hechos que afecten los intereses del SOLICITANTE/CONTRATANTE. </w:t>
      </w:r>
      <w:r w:rsidR="00C57FEB">
        <w:rPr>
          <w:szCs w:val="20"/>
        </w:rPr>
        <w:t>(Ley 1581 de 2012).</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Se asume los costos y demás gastos ocasionados en la ejecución del contrato en esta diligencia Valuatorias siempre y cuando el predio esté en la </w:t>
      </w:r>
      <w:r w:rsidR="00C57FEB">
        <w:rPr>
          <w:szCs w:val="20"/>
        </w:rPr>
        <w:t>Ciudad de trabajo del Avaluador</w:t>
      </w:r>
      <w:r w:rsidRPr="00CE023D">
        <w:rPr>
          <w:szCs w:val="20"/>
        </w:rPr>
        <w:t>, en caso contrario el SOLICITANTE/CONTRATANTE, reconocerá los gastos razonables suministrados por el Avaluador.</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Entregar el informe correspondiente en medio físico y en medio digital</w:t>
      </w:r>
      <w:r w:rsidR="007718BD">
        <w:rPr>
          <w:szCs w:val="20"/>
        </w:rPr>
        <w:t>, sujeto a los estándares de calidad exigidos en el Estatuto del Consumidor (Ley 1480 de 2011)</w:t>
      </w:r>
      <w:r w:rsidRPr="00CE023D">
        <w:rPr>
          <w:szCs w:val="20"/>
        </w:rPr>
        <w:t>.</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Cumplir con las técnicas Valuatorias establecidas en la Resolución IGAC 620 de 2008. </w:t>
      </w:r>
    </w:p>
    <w:p w:rsidR="003C200A" w:rsidRDefault="00BE275A" w:rsidP="00FE7A23">
      <w:pPr>
        <w:pStyle w:val="Default"/>
        <w:numPr>
          <w:ilvl w:val="0"/>
          <w:numId w:val="1"/>
        </w:numPr>
        <w:spacing w:after="100" w:afterAutospacing="1"/>
        <w:ind w:left="1134"/>
        <w:jc w:val="both"/>
        <w:rPr>
          <w:szCs w:val="20"/>
        </w:rPr>
      </w:pPr>
      <w:r w:rsidRPr="00CE023D">
        <w:rPr>
          <w:szCs w:val="20"/>
        </w:rPr>
        <w:t xml:space="preserve">Consultar y Referenciar la Norma Urbanística del Municipio </w:t>
      </w:r>
      <w:r w:rsidR="0083382E" w:rsidRPr="00CE023D">
        <w:rPr>
          <w:szCs w:val="20"/>
        </w:rPr>
        <w:t>respectiv</w:t>
      </w:r>
      <w:r w:rsidR="003C200A">
        <w:rPr>
          <w:szCs w:val="20"/>
        </w:rPr>
        <w:t>o, según pertenezca el inmueble.</w:t>
      </w:r>
      <w:r w:rsidR="004657C4">
        <w:rPr>
          <w:szCs w:val="20"/>
        </w:rPr>
        <w:t xml:space="preserve"> (Resolución IGAC 620 DE 2008)</w:t>
      </w:r>
    </w:p>
    <w:p w:rsidR="00207672" w:rsidRDefault="00207672" w:rsidP="00FE7A23">
      <w:pPr>
        <w:pStyle w:val="Default"/>
        <w:numPr>
          <w:ilvl w:val="0"/>
          <w:numId w:val="1"/>
        </w:numPr>
        <w:spacing w:after="100" w:afterAutospacing="1"/>
        <w:ind w:left="1134"/>
        <w:jc w:val="both"/>
        <w:rPr>
          <w:szCs w:val="20"/>
        </w:rPr>
      </w:pPr>
      <w:r>
        <w:rPr>
          <w:szCs w:val="20"/>
        </w:rPr>
        <w:t xml:space="preserve">Reclamar indemnización de perjuicios por el no pago de sus servicios de honorarios (Artículo 1546 de </w:t>
      </w:r>
      <w:r w:rsidR="007B53B8">
        <w:rPr>
          <w:szCs w:val="20"/>
        </w:rPr>
        <w:t>Código Civil).</w:t>
      </w:r>
    </w:p>
    <w:p w:rsidR="00F4423A" w:rsidRPr="00207672" w:rsidRDefault="00F4423A" w:rsidP="00207672">
      <w:pPr>
        <w:pStyle w:val="Default"/>
        <w:numPr>
          <w:ilvl w:val="0"/>
          <w:numId w:val="1"/>
        </w:numPr>
        <w:spacing w:after="100" w:afterAutospacing="1"/>
        <w:ind w:left="1134"/>
        <w:jc w:val="both"/>
        <w:rPr>
          <w:szCs w:val="20"/>
        </w:rPr>
      </w:pPr>
      <w:r>
        <w:rPr>
          <w:szCs w:val="20"/>
        </w:rPr>
        <w:t>Entregar junto a la cuenta de cobro, el pago de la Seguridad Social so pena de ser retenido su pago definitivo. (Ley 789 del 2002, Decreto 1703 de 2002,</w:t>
      </w:r>
      <w:r w:rsidRPr="00CA5287">
        <w:rPr>
          <w:szCs w:val="20"/>
        </w:rPr>
        <w:t xml:space="preserve"> </w:t>
      </w:r>
      <w:r>
        <w:rPr>
          <w:szCs w:val="20"/>
        </w:rPr>
        <w:t>Ley 1393 de 2010,</w:t>
      </w:r>
      <w:r w:rsidR="00EF5ABF">
        <w:rPr>
          <w:szCs w:val="20"/>
        </w:rPr>
        <w:t xml:space="preserve"> </w:t>
      </w:r>
      <w:r w:rsidR="00EF5ABF">
        <w:t>Decreto 2702 de 2013 o Estatuto Tributario</w:t>
      </w:r>
      <w:r w:rsidR="009B0F35">
        <w:rPr>
          <w:szCs w:val="20"/>
        </w:rPr>
        <w:t xml:space="preserve">). </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Las demás que se deriven del objeto contractual y todas aquellas que de acuerdo con la naturaleza del contrato establezca la </w:t>
      </w:r>
      <w:r w:rsidR="008849AE">
        <w:rPr>
          <w:szCs w:val="20"/>
        </w:rPr>
        <w:t>Ley</w:t>
      </w:r>
      <w:r w:rsidRPr="00CE023D">
        <w:rPr>
          <w:szCs w:val="20"/>
        </w:rPr>
        <w:t xml:space="preserve"> y las demás establecidas en la invitación a cotizar y la oferta presentada, los cuales hacen parte integrante del contrato. </w:t>
      </w:r>
    </w:p>
    <w:p w:rsidR="00BE275A" w:rsidRPr="00CE023D" w:rsidRDefault="00327869" w:rsidP="007E3F56">
      <w:pPr>
        <w:pStyle w:val="Default"/>
        <w:numPr>
          <w:ilvl w:val="0"/>
          <w:numId w:val="3"/>
        </w:numPr>
        <w:spacing w:after="100" w:afterAutospacing="1"/>
        <w:ind w:hanging="578"/>
        <w:jc w:val="both"/>
        <w:rPr>
          <w:b/>
          <w:bCs/>
          <w:sz w:val="32"/>
          <w:szCs w:val="22"/>
        </w:rPr>
      </w:pPr>
      <w:r>
        <w:rPr>
          <w:b/>
          <w:bCs/>
          <w:sz w:val="32"/>
          <w:szCs w:val="22"/>
        </w:rPr>
        <w:lastRenderedPageBreak/>
        <w:t>OBLIGACIONES DEL</w:t>
      </w:r>
      <w:r w:rsidR="00BE275A" w:rsidRPr="00CE023D">
        <w:rPr>
          <w:b/>
          <w:bCs/>
          <w:sz w:val="32"/>
          <w:szCs w:val="22"/>
        </w:rPr>
        <w:t xml:space="preserve"> CONTRATANTE: </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Exigir al AVALUADOR la ejecución idónea y oportuna del objeto contratado, así como la información que considere necesaria para el desarrollo del mismo. </w:t>
      </w:r>
      <w:r w:rsidR="00F40862" w:rsidRPr="00CE023D">
        <w:rPr>
          <w:szCs w:val="20"/>
        </w:rPr>
        <w:t xml:space="preserve">(Artículo 13° del </w:t>
      </w:r>
      <w:r w:rsidR="008849AE">
        <w:rPr>
          <w:szCs w:val="20"/>
        </w:rPr>
        <w:t>Decreto</w:t>
      </w:r>
      <w:r w:rsidR="00F40862" w:rsidRPr="00CE023D">
        <w:rPr>
          <w:szCs w:val="20"/>
        </w:rPr>
        <w:t xml:space="preserve"> 1420 1998)</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No solicitar el mismo Avalúo salvo cuando haya vencido el plazo legal del Avalúo contratado. Artículo 12° y 19° y el parágrafo único del </w:t>
      </w:r>
      <w:r w:rsidR="008849AE">
        <w:rPr>
          <w:szCs w:val="20"/>
        </w:rPr>
        <w:t>Decreto</w:t>
      </w:r>
      <w:r w:rsidRPr="00CE023D">
        <w:rPr>
          <w:szCs w:val="20"/>
        </w:rPr>
        <w:t xml:space="preserve"> 1420 de 1998.</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Adelantar las acciones conducentes a obtener las indemnizaciones por los daños que sufra el SOLICITANTE/CONTRATANTE en desarrollo o con ocasión del servicio prestado. Artículo 11° del </w:t>
      </w:r>
      <w:r w:rsidR="008849AE">
        <w:rPr>
          <w:szCs w:val="20"/>
        </w:rPr>
        <w:t>Decreto</w:t>
      </w:r>
      <w:r w:rsidRPr="00CE023D">
        <w:rPr>
          <w:szCs w:val="20"/>
        </w:rPr>
        <w:t xml:space="preserve"> 1420 de 1998.</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Requerir al AVALUADOR para que adopte las medidas pertinentes cuando surjan faltas en el cumplimiento del contrato. </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Pagar cumplidamente los valores pactados.</w:t>
      </w:r>
    </w:p>
    <w:p w:rsidR="003C200A" w:rsidRDefault="00DE7AFC" w:rsidP="00FE7A23">
      <w:pPr>
        <w:pStyle w:val="Default"/>
        <w:numPr>
          <w:ilvl w:val="0"/>
          <w:numId w:val="1"/>
        </w:numPr>
        <w:spacing w:after="100" w:afterAutospacing="1"/>
        <w:ind w:left="1134"/>
        <w:jc w:val="both"/>
        <w:rPr>
          <w:szCs w:val="20"/>
        </w:rPr>
      </w:pPr>
      <w:r w:rsidRPr="00CE023D">
        <w:rPr>
          <w:szCs w:val="20"/>
        </w:rPr>
        <w:t>Facilitar desplazamientos a los lugares en donde se encuentran los inmuebles, autorizaciones de acceso si es el caso y cubrir con gastos no pr</w:t>
      </w:r>
      <w:r w:rsidR="00F40862" w:rsidRPr="00CE023D">
        <w:rPr>
          <w:szCs w:val="20"/>
        </w:rPr>
        <w:t>esupuestados si estos no estuvieron</w:t>
      </w:r>
      <w:r w:rsidRPr="00CE023D">
        <w:rPr>
          <w:szCs w:val="20"/>
        </w:rPr>
        <w:t xml:space="preserve"> contemplados con anterioridad</w:t>
      </w:r>
      <w:r w:rsidR="003C200A">
        <w:rPr>
          <w:szCs w:val="20"/>
        </w:rPr>
        <w:t>.</w:t>
      </w:r>
    </w:p>
    <w:p w:rsidR="00DE7AFC" w:rsidRDefault="003C200A" w:rsidP="00FE7A23">
      <w:pPr>
        <w:pStyle w:val="Default"/>
        <w:numPr>
          <w:ilvl w:val="0"/>
          <w:numId w:val="1"/>
        </w:numPr>
        <w:spacing w:after="100" w:afterAutospacing="1"/>
        <w:ind w:left="1134"/>
        <w:jc w:val="both"/>
        <w:rPr>
          <w:szCs w:val="20"/>
        </w:rPr>
      </w:pPr>
      <w:r>
        <w:rPr>
          <w:szCs w:val="20"/>
        </w:rPr>
        <w:t>Retener el Pago de honorarios hasta tanto el AVALUADOR no demuestre el pago de su Seguridad Social. (</w:t>
      </w:r>
      <w:r w:rsidR="00CA5287">
        <w:rPr>
          <w:szCs w:val="20"/>
        </w:rPr>
        <w:t>Ley 789 del 2002,</w:t>
      </w:r>
      <w:r>
        <w:rPr>
          <w:szCs w:val="20"/>
        </w:rPr>
        <w:t xml:space="preserve"> </w:t>
      </w:r>
      <w:r w:rsidR="00CA5287">
        <w:rPr>
          <w:szCs w:val="20"/>
        </w:rPr>
        <w:t>Decreto 1703 de 2002,</w:t>
      </w:r>
      <w:r w:rsidR="00CA5287" w:rsidRPr="00CA5287">
        <w:rPr>
          <w:szCs w:val="20"/>
        </w:rPr>
        <w:t xml:space="preserve"> </w:t>
      </w:r>
      <w:r w:rsidR="00CA5287">
        <w:rPr>
          <w:szCs w:val="20"/>
        </w:rPr>
        <w:t>Ley 1393 de 2010,</w:t>
      </w:r>
      <w:r w:rsidR="00EF5ABF" w:rsidRPr="00EF5ABF">
        <w:t xml:space="preserve"> </w:t>
      </w:r>
      <w:r w:rsidR="00EF5ABF">
        <w:t>Decreto 2702 de 2013 o Estatuto Tributario</w:t>
      </w:r>
      <w:r w:rsidR="00CA5287">
        <w:rPr>
          <w:szCs w:val="20"/>
        </w:rPr>
        <w:t>)</w:t>
      </w:r>
      <w:r w:rsidR="00207672">
        <w:rPr>
          <w:szCs w:val="20"/>
        </w:rPr>
        <w:t>.</w:t>
      </w:r>
    </w:p>
    <w:p w:rsidR="00207672" w:rsidRDefault="00207672" w:rsidP="00207672">
      <w:pPr>
        <w:pStyle w:val="Default"/>
        <w:numPr>
          <w:ilvl w:val="0"/>
          <w:numId w:val="1"/>
        </w:numPr>
        <w:spacing w:after="100" w:afterAutospacing="1"/>
        <w:ind w:left="1134"/>
        <w:jc w:val="both"/>
        <w:rPr>
          <w:szCs w:val="20"/>
        </w:rPr>
      </w:pPr>
      <w:r>
        <w:rPr>
          <w:szCs w:val="20"/>
        </w:rPr>
        <w:t>Pagar las obligaciones pactadas en los términos establecidos (Articulo 1602 del Código Civil. Artículo 864 del Código de Comercio.).</w:t>
      </w:r>
    </w:p>
    <w:p w:rsidR="00173288" w:rsidRDefault="00173288" w:rsidP="00207672">
      <w:pPr>
        <w:pStyle w:val="Default"/>
        <w:numPr>
          <w:ilvl w:val="0"/>
          <w:numId w:val="1"/>
        </w:numPr>
        <w:spacing w:after="100" w:afterAutospacing="1"/>
        <w:ind w:left="1134"/>
        <w:jc w:val="both"/>
        <w:rPr>
          <w:szCs w:val="20"/>
        </w:rPr>
      </w:pPr>
      <w:r>
        <w:rPr>
          <w:szCs w:val="20"/>
        </w:rPr>
        <w:t xml:space="preserve">Elevar queja ante la Super </w:t>
      </w:r>
      <w:r w:rsidR="00A9653B">
        <w:rPr>
          <w:szCs w:val="20"/>
        </w:rPr>
        <w:t>intendencia de Industria y C</w:t>
      </w:r>
      <w:r>
        <w:rPr>
          <w:szCs w:val="20"/>
        </w:rPr>
        <w:t>omercio por infracciones a la ley de h</w:t>
      </w:r>
      <w:r w:rsidR="00A9653B">
        <w:rPr>
          <w:szCs w:val="20"/>
        </w:rPr>
        <w:t>á</w:t>
      </w:r>
      <w:r>
        <w:rPr>
          <w:szCs w:val="20"/>
        </w:rPr>
        <w:t>beas data (Ley 1581 de 2012)</w:t>
      </w:r>
      <w:r w:rsidR="00E31848">
        <w:rPr>
          <w:szCs w:val="20"/>
        </w:rPr>
        <w:t>.</w:t>
      </w:r>
    </w:p>
    <w:p w:rsidR="00E31848" w:rsidRPr="00207672" w:rsidRDefault="00E31848" w:rsidP="00207672">
      <w:pPr>
        <w:pStyle w:val="Default"/>
        <w:numPr>
          <w:ilvl w:val="0"/>
          <w:numId w:val="1"/>
        </w:numPr>
        <w:spacing w:after="100" w:afterAutospacing="1"/>
        <w:ind w:left="1134"/>
        <w:jc w:val="both"/>
        <w:rPr>
          <w:szCs w:val="20"/>
        </w:rPr>
      </w:pPr>
      <w:r>
        <w:rPr>
          <w:szCs w:val="20"/>
        </w:rPr>
        <w:t>Ejercer los derechos expuestos en el Estatuto del Consumidor. (Ley 1480 de 2011)</w:t>
      </w:r>
    </w:p>
    <w:p w:rsidR="00BE275A" w:rsidRPr="00CE023D" w:rsidRDefault="00BE275A" w:rsidP="00FE7A23">
      <w:pPr>
        <w:pStyle w:val="Default"/>
        <w:numPr>
          <w:ilvl w:val="0"/>
          <w:numId w:val="1"/>
        </w:numPr>
        <w:spacing w:after="100" w:afterAutospacing="1"/>
        <w:ind w:left="1134"/>
        <w:jc w:val="both"/>
        <w:rPr>
          <w:szCs w:val="20"/>
        </w:rPr>
      </w:pPr>
      <w:r w:rsidRPr="00CE023D">
        <w:rPr>
          <w:szCs w:val="20"/>
        </w:rPr>
        <w:t xml:space="preserve">Las demás que se deriven del objeto contractual y todas aquellas que de acuerdo con la naturaleza del contrato establezca la </w:t>
      </w:r>
      <w:r w:rsidR="008849AE">
        <w:rPr>
          <w:szCs w:val="20"/>
        </w:rPr>
        <w:t>Ley</w:t>
      </w:r>
      <w:r w:rsidRPr="00CE023D">
        <w:rPr>
          <w:szCs w:val="20"/>
        </w:rPr>
        <w:t xml:space="preserve"> y las demás establecidas en la invitación a cotizar y la oferta presentada, los cuales hacen parte integrante del contrato. </w:t>
      </w:r>
    </w:p>
    <w:p w:rsidR="00BE275A" w:rsidRPr="00DD2D2F" w:rsidRDefault="00327869" w:rsidP="007E3F56">
      <w:pPr>
        <w:pStyle w:val="Default"/>
        <w:numPr>
          <w:ilvl w:val="0"/>
          <w:numId w:val="3"/>
        </w:numPr>
        <w:spacing w:after="100" w:afterAutospacing="1"/>
        <w:ind w:hanging="578"/>
        <w:jc w:val="both"/>
        <w:rPr>
          <w:b/>
          <w:bCs/>
          <w:sz w:val="32"/>
          <w:szCs w:val="22"/>
          <w:highlight w:val="cyan"/>
        </w:rPr>
      </w:pPr>
      <w:r w:rsidRPr="00DD2D2F">
        <w:rPr>
          <w:b/>
          <w:bCs/>
          <w:sz w:val="32"/>
          <w:szCs w:val="22"/>
          <w:highlight w:val="cyan"/>
        </w:rPr>
        <w:t>DISPOSICIONES GENERALES:</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VERACIDAD DE LA INFORMACIÓN</w:t>
      </w:r>
      <w:r w:rsidRPr="00DD2D2F">
        <w:rPr>
          <w:szCs w:val="20"/>
          <w:highlight w:val="cyan"/>
        </w:rPr>
        <w:t xml:space="preserve">. EL AVALUADOR, no es responsable de la veracidad de la información urbanística que afecte o haya afectado al inmueble objeto del predio en el momento de la realización del avalúo. Artículo 14° del </w:t>
      </w:r>
      <w:r w:rsidR="008849AE" w:rsidRPr="00DD2D2F">
        <w:rPr>
          <w:szCs w:val="20"/>
          <w:highlight w:val="cyan"/>
        </w:rPr>
        <w:t>Decreto</w:t>
      </w:r>
      <w:r w:rsidRPr="00DD2D2F">
        <w:rPr>
          <w:szCs w:val="20"/>
          <w:highlight w:val="cyan"/>
        </w:rPr>
        <w:t xml:space="preserve"> 1420 de 1998.</w:t>
      </w:r>
      <w:r w:rsidR="00B36BB5" w:rsidRPr="00DD2D2F">
        <w:rPr>
          <w:szCs w:val="20"/>
          <w:highlight w:val="cyan"/>
        </w:rPr>
        <w:t xml:space="preserve"> En caso de encontrar infracciones urbanísticas simplemente hará la anotación como posible infracción urbanística.</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NO VÍNCULO LABORAL. EL AVALUADOR</w:t>
      </w:r>
      <w:r w:rsidRPr="00DD2D2F">
        <w:rPr>
          <w:szCs w:val="20"/>
          <w:highlight w:val="cyan"/>
        </w:rPr>
        <w:t xml:space="preserve"> bajo este documento hace constar que no es vinculante laboralmente con el SOLICITANTE/CONTRATANTE por ello el AVALUADOR reconoce y renuncia a cualquier Vínculo Laboral que a partir de la firma de este contrato se pudiera establecer. </w:t>
      </w:r>
      <w:r w:rsidR="000A69F7" w:rsidRPr="00DD2D2F">
        <w:rPr>
          <w:szCs w:val="20"/>
          <w:highlight w:val="cyan"/>
        </w:rPr>
        <w:t>(</w:t>
      </w:r>
      <w:r w:rsidR="00B2236B" w:rsidRPr="00DD2D2F">
        <w:rPr>
          <w:szCs w:val="20"/>
          <w:highlight w:val="cyan"/>
        </w:rPr>
        <w:t>Artículo</w:t>
      </w:r>
      <w:r w:rsidR="000A69F7" w:rsidRPr="00DD2D2F">
        <w:rPr>
          <w:szCs w:val="20"/>
          <w:highlight w:val="cyan"/>
        </w:rPr>
        <w:t xml:space="preserve"> 86 del </w:t>
      </w:r>
      <w:r w:rsidR="008849AE" w:rsidRPr="00DD2D2F">
        <w:rPr>
          <w:szCs w:val="20"/>
          <w:highlight w:val="cyan"/>
        </w:rPr>
        <w:t>Decreto</w:t>
      </w:r>
      <w:r w:rsidR="000A69F7" w:rsidRPr="00DD2D2F">
        <w:rPr>
          <w:szCs w:val="20"/>
          <w:highlight w:val="cyan"/>
        </w:rPr>
        <w:t xml:space="preserve"> 510 de 1999)</w:t>
      </w:r>
      <w:r w:rsidR="00E83D4D" w:rsidRPr="00DD2D2F">
        <w:rPr>
          <w:szCs w:val="20"/>
          <w:highlight w:val="cyan"/>
        </w:rPr>
        <w:t>.</w:t>
      </w:r>
    </w:p>
    <w:p w:rsidR="00FF1B35" w:rsidRPr="00DD2D2F" w:rsidRDefault="00FF1B35" w:rsidP="0000280B">
      <w:pPr>
        <w:pStyle w:val="Default"/>
        <w:numPr>
          <w:ilvl w:val="0"/>
          <w:numId w:val="2"/>
        </w:numPr>
        <w:spacing w:after="100" w:afterAutospacing="1"/>
        <w:ind w:left="1134"/>
        <w:jc w:val="both"/>
        <w:rPr>
          <w:szCs w:val="20"/>
          <w:highlight w:val="cyan"/>
        </w:rPr>
      </w:pPr>
      <w:r w:rsidRPr="00DD2D2F">
        <w:rPr>
          <w:b/>
          <w:szCs w:val="20"/>
          <w:highlight w:val="cyan"/>
        </w:rPr>
        <w:lastRenderedPageBreak/>
        <w:t xml:space="preserve">INDEPENDENCIA. </w:t>
      </w:r>
      <w:r w:rsidRPr="00DD2D2F">
        <w:rPr>
          <w:szCs w:val="20"/>
          <w:highlight w:val="cyan"/>
        </w:rPr>
        <w:t xml:space="preserve">Los </w:t>
      </w:r>
      <w:r w:rsidR="00C509FD" w:rsidRPr="00DD2D2F">
        <w:rPr>
          <w:szCs w:val="20"/>
          <w:highlight w:val="cyan"/>
        </w:rPr>
        <w:t>Avalúos</w:t>
      </w:r>
      <w:r w:rsidRPr="00DD2D2F">
        <w:rPr>
          <w:szCs w:val="20"/>
          <w:highlight w:val="cyan"/>
        </w:rPr>
        <w:t xml:space="preserve"> deben ser realizados por personas que </w:t>
      </w:r>
      <w:r w:rsidR="00C509FD" w:rsidRPr="00DD2D2F">
        <w:rPr>
          <w:szCs w:val="20"/>
          <w:highlight w:val="cyan"/>
        </w:rPr>
        <w:t xml:space="preserve">directa o indirectamente carezcan de cualquier interés en el resultado del avalúo en sus posibles utilizaciones, así como de cualquier vinculación con las partes que se afectarían. Los avaluadores no podrán tener con los establecimientos de crédito, los deudores o acreedores ninguna relación de subordinación, dependencia o parentesco, ni estar incurso en las causales de recusación a las que refiere el artículo 72 de la </w:t>
      </w:r>
      <w:r w:rsidR="008849AE" w:rsidRPr="00DD2D2F">
        <w:rPr>
          <w:szCs w:val="20"/>
          <w:highlight w:val="cyan"/>
        </w:rPr>
        <w:t>Ley</w:t>
      </w:r>
      <w:r w:rsidR="00C509FD" w:rsidRPr="00DD2D2F">
        <w:rPr>
          <w:szCs w:val="20"/>
          <w:highlight w:val="cyan"/>
        </w:rPr>
        <w:t xml:space="preserve"> 550 de 1999, no pudiendo existir, en ningún evento conflicto de intereses (artículo 1 numeral 5 </w:t>
      </w:r>
      <w:r w:rsidR="008849AE" w:rsidRPr="00DD2D2F">
        <w:rPr>
          <w:szCs w:val="20"/>
          <w:highlight w:val="cyan"/>
        </w:rPr>
        <w:t>Decreto</w:t>
      </w:r>
      <w:r w:rsidR="00C509FD" w:rsidRPr="00DD2D2F">
        <w:rPr>
          <w:szCs w:val="20"/>
          <w:highlight w:val="cyan"/>
        </w:rPr>
        <w:t xml:space="preserve"> 422 de 2000).</w:t>
      </w:r>
    </w:p>
    <w:p w:rsidR="001577DA" w:rsidRPr="00DD2D2F" w:rsidRDefault="001577DA" w:rsidP="00FE7A23">
      <w:pPr>
        <w:pStyle w:val="Default"/>
        <w:numPr>
          <w:ilvl w:val="0"/>
          <w:numId w:val="2"/>
        </w:numPr>
        <w:spacing w:after="100" w:afterAutospacing="1"/>
        <w:ind w:left="1134"/>
        <w:jc w:val="both"/>
        <w:rPr>
          <w:szCs w:val="20"/>
          <w:highlight w:val="cyan"/>
        </w:rPr>
      </w:pPr>
      <w:r w:rsidRPr="00DD2D2F">
        <w:rPr>
          <w:b/>
          <w:szCs w:val="20"/>
          <w:highlight w:val="cyan"/>
        </w:rPr>
        <w:t xml:space="preserve">OBJETIVIDAD. </w:t>
      </w:r>
      <w:r w:rsidRPr="00DD2D2F">
        <w:rPr>
          <w:szCs w:val="20"/>
          <w:highlight w:val="cyan"/>
        </w:rPr>
        <w:t xml:space="preserve">Se basarán en criterios objetivos y datos comprobables, cuyas fuentes sean verificables y comprobables. (Artículo 1° </w:t>
      </w:r>
      <w:r w:rsidR="008849AE" w:rsidRPr="00DD2D2F">
        <w:rPr>
          <w:szCs w:val="20"/>
          <w:highlight w:val="cyan"/>
        </w:rPr>
        <w:t>Decreto</w:t>
      </w:r>
      <w:r w:rsidRPr="00DD2D2F">
        <w:rPr>
          <w:szCs w:val="20"/>
          <w:highlight w:val="cyan"/>
        </w:rPr>
        <w:t xml:space="preserve"> 422 de 2000)</w:t>
      </w:r>
      <w:r w:rsidR="00E83D4D" w:rsidRPr="00DD2D2F">
        <w:rPr>
          <w:szCs w:val="20"/>
          <w:highlight w:val="cyan"/>
        </w:rPr>
        <w:t>.</w:t>
      </w:r>
    </w:p>
    <w:p w:rsidR="001577DA" w:rsidRPr="00DD2D2F" w:rsidRDefault="001577DA" w:rsidP="00FE7A23">
      <w:pPr>
        <w:pStyle w:val="Default"/>
        <w:numPr>
          <w:ilvl w:val="0"/>
          <w:numId w:val="2"/>
        </w:numPr>
        <w:spacing w:after="100" w:afterAutospacing="1"/>
        <w:ind w:left="1134"/>
        <w:jc w:val="both"/>
        <w:rPr>
          <w:szCs w:val="20"/>
          <w:highlight w:val="cyan"/>
        </w:rPr>
      </w:pPr>
      <w:r w:rsidRPr="00DD2D2F">
        <w:rPr>
          <w:b/>
          <w:szCs w:val="20"/>
          <w:highlight w:val="cyan"/>
        </w:rPr>
        <w:t xml:space="preserve">CERTEZA DE FUENTES. </w:t>
      </w:r>
      <w:r w:rsidRPr="00DD2D2F">
        <w:rPr>
          <w:szCs w:val="20"/>
          <w:highlight w:val="cyan"/>
        </w:rPr>
        <w:t xml:space="preserve">La información, índices, precios unitarios, curvas de depreciación o proyecciones que se utilicen deben provenir de fuentes de reconocida profesionalidad y, en todo caso se revelarán. (Artículo 1° </w:t>
      </w:r>
      <w:r w:rsidR="008849AE" w:rsidRPr="00DD2D2F">
        <w:rPr>
          <w:szCs w:val="20"/>
          <w:highlight w:val="cyan"/>
        </w:rPr>
        <w:t>Decreto</w:t>
      </w:r>
      <w:r w:rsidRPr="00DD2D2F">
        <w:rPr>
          <w:szCs w:val="20"/>
          <w:highlight w:val="cyan"/>
        </w:rPr>
        <w:t xml:space="preserve"> 422 de 2000)</w:t>
      </w:r>
      <w:r w:rsidR="00E83D4D" w:rsidRPr="00DD2D2F">
        <w:rPr>
          <w:szCs w:val="20"/>
          <w:highlight w:val="cyan"/>
        </w:rPr>
        <w:t>.</w:t>
      </w:r>
    </w:p>
    <w:p w:rsidR="001577DA" w:rsidRPr="00DD2D2F" w:rsidRDefault="001577DA" w:rsidP="00FE7A23">
      <w:pPr>
        <w:pStyle w:val="Default"/>
        <w:numPr>
          <w:ilvl w:val="0"/>
          <w:numId w:val="2"/>
        </w:numPr>
        <w:spacing w:after="100" w:afterAutospacing="1"/>
        <w:ind w:left="1134"/>
        <w:jc w:val="both"/>
        <w:rPr>
          <w:szCs w:val="20"/>
          <w:highlight w:val="cyan"/>
        </w:rPr>
      </w:pPr>
      <w:r w:rsidRPr="00DD2D2F">
        <w:rPr>
          <w:b/>
          <w:szCs w:val="20"/>
          <w:highlight w:val="cyan"/>
        </w:rPr>
        <w:t xml:space="preserve">TRANSPARENCIA. </w:t>
      </w:r>
      <w:r w:rsidRPr="00DD2D2F">
        <w:rPr>
          <w:szCs w:val="20"/>
          <w:highlight w:val="cyan"/>
        </w:rPr>
        <w:t xml:space="preserve">Expresarán todas las limitaciones y posibles fuentes de error y revelarán todos los supuestos que se hayan tomado en cuenta. (Artículo 1° </w:t>
      </w:r>
      <w:r w:rsidR="008849AE" w:rsidRPr="00DD2D2F">
        <w:rPr>
          <w:szCs w:val="20"/>
          <w:highlight w:val="cyan"/>
        </w:rPr>
        <w:t>Decreto</w:t>
      </w:r>
      <w:r w:rsidRPr="00DD2D2F">
        <w:rPr>
          <w:szCs w:val="20"/>
          <w:highlight w:val="cyan"/>
        </w:rPr>
        <w:t xml:space="preserve"> 422 de 2000)</w:t>
      </w:r>
      <w:r w:rsidR="00E83D4D" w:rsidRPr="00DD2D2F">
        <w:rPr>
          <w:szCs w:val="20"/>
          <w:highlight w:val="cyan"/>
        </w:rPr>
        <w:t>.</w:t>
      </w:r>
    </w:p>
    <w:p w:rsidR="001577DA" w:rsidRPr="00DD2D2F" w:rsidRDefault="001577DA" w:rsidP="00FE7A23">
      <w:pPr>
        <w:pStyle w:val="Default"/>
        <w:numPr>
          <w:ilvl w:val="0"/>
          <w:numId w:val="2"/>
        </w:numPr>
        <w:spacing w:after="100" w:afterAutospacing="1"/>
        <w:ind w:left="1134"/>
        <w:jc w:val="both"/>
        <w:rPr>
          <w:szCs w:val="20"/>
          <w:highlight w:val="cyan"/>
        </w:rPr>
      </w:pPr>
      <w:r w:rsidRPr="00DD2D2F">
        <w:rPr>
          <w:b/>
          <w:szCs w:val="20"/>
          <w:highlight w:val="cyan"/>
        </w:rPr>
        <w:t xml:space="preserve">INTEGRIDAD Y SUFICIENCIA. </w:t>
      </w:r>
      <w:r w:rsidRPr="00DD2D2F">
        <w:rPr>
          <w:szCs w:val="20"/>
          <w:highlight w:val="cyan"/>
        </w:rPr>
        <w:t xml:space="preserve">Los avalúos deben contener toda la información que permita a un tercero concluir el valor total del avalúo, sin necesidad de recurrir a fuentes externas al texto. Adicionalmente, debe ser posible verificar todos los cálculos que soporten el resultado final y los intermedios. (Artículo 1° </w:t>
      </w:r>
      <w:r w:rsidR="008849AE" w:rsidRPr="00DD2D2F">
        <w:rPr>
          <w:szCs w:val="20"/>
          <w:highlight w:val="cyan"/>
        </w:rPr>
        <w:t>Decreto</w:t>
      </w:r>
      <w:r w:rsidRPr="00DD2D2F">
        <w:rPr>
          <w:szCs w:val="20"/>
          <w:highlight w:val="cyan"/>
        </w:rPr>
        <w:t xml:space="preserve"> 422 de 2000)</w:t>
      </w:r>
      <w:r w:rsidR="00E83D4D" w:rsidRPr="00DD2D2F">
        <w:rPr>
          <w:szCs w:val="20"/>
          <w:highlight w:val="cyan"/>
        </w:rPr>
        <w:t>.</w:t>
      </w:r>
    </w:p>
    <w:p w:rsidR="001577DA" w:rsidRPr="00DD2D2F" w:rsidRDefault="001577DA" w:rsidP="00FE7A23">
      <w:pPr>
        <w:pStyle w:val="Default"/>
        <w:numPr>
          <w:ilvl w:val="0"/>
          <w:numId w:val="2"/>
        </w:numPr>
        <w:spacing w:after="100" w:afterAutospacing="1"/>
        <w:ind w:left="1134"/>
        <w:jc w:val="both"/>
        <w:rPr>
          <w:szCs w:val="20"/>
          <w:highlight w:val="cyan"/>
        </w:rPr>
      </w:pPr>
      <w:r w:rsidRPr="00DD2D2F">
        <w:rPr>
          <w:b/>
          <w:szCs w:val="20"/>
          <w:highlight w:val="cyan"/>
        </w:rPr>
        <w:t xml:space="preserve">PROFESIONALISMO. </w:t>
      </w:r>
      <w:r w:rsidRPr="00DD2D2F">
        <w:rPr>
          <w:szCs w:val="20"/>
          <w:highlight w:val="cyan"/>
        </w:rPr>
        <w:t>Los avalúos deben realizarse por personas inscritas para la especialidad respectiva, en la</w:t>
      </w:r>
      <w:r w:rsidR="00AE0078" w:rsidRPr="00DD2D2F">
        <w:rPr>
          <w:szCs w:val="20"/>
          <w:highlight w:val="cyan"/>
        </w:rPr>
        <w:t xml:space="preserve"> lista correspondiente o en el Registro A</w:t>
      </w:r>
      <w:r w:rsidRPr="00DD2D2F">
        <w:rPr>
          <w:szCs w:val="20"/>
          <w:highlight w:val="cyan"/>
        </w:rPr>
        <w:t xml:space="preserve">bierto de </w:t>
      </w:r>
      <w:r w:rsidR="00AE0078" w:rsidRPr="00DD2D2F">
        <w:rPr>
          <w:szCs w:val="20"/>
          <w:highlight w:val="cyan"/>
        </w:rPr>
        <w:t>A</w:t>
      </w:r>
      <w:r w:rsidRPr="00DD2D2F">
        <w:rPr>
          <w:szCs w:val="20"/>
          <w:highlight w:val="cyan"/>
        </w:rPr>
        <w:t xml:space="preserve">valuadores. (Artículo 1° </w:t>
      </w:r>
      <w:r w:rsidR="008849AE" w:rsidRPr="00DD2D2F">
        <w:rPr>
          <w:szCs w:val="20"/>
          <w:highlight w:val="cyan"/>
        </w:rPr>
        <w:t>Decreto</w:t>
      </w:r>
      <w:r w:rsidRPr="00DD2D2F">
        <w:rPr>
          <w:szCs w:val="20"/>
          <w:highlight w:val="cyan"/>
        </w:rPr>
        <w:t xml:space="preserve"> 422 de 2000)</w:t>
      </w:r>
      <w:r w:rsidR="00E83D4D" w:rsidRPr="00DD2D2F">
        <w:rPr>
          <w:szCs w:val="20"/>
          <w:highlight w:val="cyan"/>
        </w:rPr>
        <w:t>.</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REVISIÓN DEL AVALÚO</w:t>
      </w:r>
      <w:r w:rsidRPr="00DD2D2F">
        <w:rPr>
          <w:szCs w:val="20"/>
          <w:highlight w:val="cyan"/>
        </w:rPr>
        <w:t xml:space="preserve">. La revisión del Avalúo la hará el AVALUADOR, una vez el SOLICITANTE/CONTRATANTE fundamentado en consideraciones técnicas así lo solicite. Artículo 16° </w:t>
      </w:r>
      <w:r w:rsidR="008849AE" w:rsidRPr="00DD2D2F">
        <w:rPr>
          <w:szCs w:val="20"/>
          <w:highlight w:val="cyan"/>
        </w:rPr>
        <w:t>Decreto</w:t>
      </w:r>
      <w:r w:rsidRPr="00DD2D2F">
        <w:rPr>
          <w:szCs w:val="20"/>
          <w:highlight w:val="cyan"/>
        </w:rPr>
        <w:t xml:space="preserve"> 1420 de 1998.</w:t>
      </w:r>
    </w:p>
    <w:p w:rsidR="00ED7DFF" w:rsidRPr="00DD2D2F" w:rsidRDefault="00ED7DFF" w:rsidP="00FE7A23">
      <w:pPr>
        <w:pStyle w:val="Default"/>
        <w:spacing w:after="100" w:afterAutospacing="1"/>
        <w:ind w:left="1134"/>
        <w:jc w:val="both"/>
        <w:rPr>
          <w:szCs w:val="20"/>
          <w:highlight w:val="cyan"/>
        </w:rPr>
      </w:pPr>
      <w:r w:rsidRPr="00DD2D2F">
        <w:rPr>
          <w:szCs w:val="20"/>
          <w:highlight w:val="cyan"/>
        </w:rPr>
        <w:t xml:space="preserve">Al decidirse la revisión o la impugnación, la entidad correspondiente podrá confirmar, aumentar o disminuir el monto del avalúo. (Artículo 17 parágrafo 1. </w:t>
      </w:r>
      <w:r w:rsidR="008849AE" w:rsidRPr="00DD2D2F">
        <w:rPr>
          <w:szCs w:val="20"/>
          <w:highlight w:val="cyan"/>
        </w:rPr>
        <w:t>Decreto</w:t>
      </w:r>
      <w:r w:rsidRPr="00DD2D2F">
        <w:rPr>
          <w:szCs w:val="20"/>
          <w:highlight w:val="cyan"/>
        </w:rPr>
        <w:t xml:space="preserve"> 1420 de 1998)</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OBJECIONES Y ACLARACIONES</w:t>
      </w:r>
      <w:r w:rsidRPr="00DD2D2F">
        <w:rPr>
          <w:szCs w:val="20"/>
          <w:highlight w:val="cyan"/>
        </w:rPr>
        <w:t xml:space="preserve">. Dentro de los quince (15) días siguientes, hará su pronunciamiento sobre la revisión planteada. Artículo 17° </w:t>
      </w:r>
      <w:r w:rsidR="008849AE" w:rsidRPr="00DD2D2F">
        <w:rPr>
          <w:szCs w:val="20"/>
          <w:highlight w:val="cyan"/>
        </w:rPr>
        <w:t>Decreto</w:t>
      </w:r>
      <w:r w:rsidRPr="00DD2D2F">
        <w:rPr>
          <w:szCs w:val="20"/>
          <w:highlight w:val="cyan"/>
        </w:rPr>
        <w:t xml:space="preserve"> 1420 de 1998.</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IGAC.</w:t>
      </w:r>
      <w:r w:rsidRPr="00DD2D2F">
        <w:rPr>
          <w:szCs w:val="20"/>
          <w:highlight w:val="cyan"/>
        </w:rPr>
        <w:t xml:space="preserve"> La impugnación del Avalúo, lo hará el SOLICITANTE/CONTRATANTE ante el INSTITUTO GEOGRÁFICO AGUSTÍN CODAZZI, una vez el mismo SOLICITANTE se fundamente en consideraciones técnicas al respecto. Artículo 16° y 17° parágrafo 1° y 2°, del </w:t>
      </w:r>
      <w:r w:rsidR="008849AE" w:rsidRPr="00DD2D2F">
        <w:rPr>
          <w:szCs w:val="20"/>
          <w:highlight w:val="cyan"/>
        </w:rPr>
        <w:t>Decreto</w:t>
      </w:r>
      <w:r w:rsidRPr="00DD2D2F">
        <w:rPr>
          <w:szCs w:val="20"/>
          <w:highlight w:val="cyan"/>
        </w:rPr>
        <w:t xml:space="preserve"> 1420 de 1998.</w:t>
      </w:r>
    </w:p>
    <w:p w:rsidR="00AB6A56" w:rsidRPr="00DD2D2F" w:rsidRDefault="00AB6A56" w:rsidP="00FE7A23">
      <w:pPr>
        <w:pStyle w:val="Default"/>
        <w:numPr>
          <w:ilvl w:val="0"/>
          <w:numId w:val="2"/>
        </w:numPr>
        <w:spacing w:after="100" w:afterAutospacing="1"/>
        <w:ind w:left="1134"/>
        <w:jc w:val="both"/>
        <w:rPr>
          <w:szCs w:val="20"/>
          <w:highlight w:val="cyan"/>
        </w:rPr>
      </w:pPr>
      <w:r w:rsidRPr="00DD2D2F">
        <w:rPr>
          <w:b/>
          <w:szCs w:val="20"/>
          <w:highlight w:val="cyan"/>
        </w:rPr>
        <w:t>IMPUGNACIÓN Y/O REVISIÓN DEL AVALÚO</w:t>
      </w:r>
      <w:r w:rsidRPr="00DD2D2F">
        <w:rPr>
          <w:szCs w:val="20"/>
          <w:highlight w:val="cyan"/>
        </w:rPr>
        <w:t xml:space="preserve">. El SOLICITANTE/CONTRATANTE, podrá pedir la revisión y/o la </w:t>
      </w:r>
      <w:r w:rsidRPr="00DD2D2F">
        <w:rPr>
          <w:szCs w:val="20"/>
          <w:highlight w:val="cyan"/>
        </w:rPr>
        <w:lastRenderedPageBreak/>
        <w:t xml:space="preserve">impugnación al avalúo dentro de los cinco (5) días siguientes a la fecha de entrega del informe de Avalúo. Artículo 15° </w:t>
      </w:r>
      <w:r w:rsidR="008849AE" w:rsidRPr="00DD2D2F">
        <w:rPr>
          <w:szCs w:val="20"/>
          <w:highlight w:val="cyan"/>
        </w:rPr>
        <w:t>Decreto</w:t>
      </w:r>
      <w:r w:rsidRPr="00DD2D2F">
        <w:rPr>
          <w:szCs w:val="20"/>
          <w:highlight w:val="cyan"/>
        </w:rPr>
        <w:t xml:space="preserve"> 1420 de 1998.</w:t>
      </w:r>
    </w:p>
    <w:p w:rsidR="0070054B" w:rsidRPr="00DD2D2F" w:rsidRDefault="0070054B" w:rsidP="00FE7A23">
      <w:pPr>
        <w:pStyle w:val="Default"/>
        <w:numPr>
          <w:ilvl w:val="0"/>
          <w:numId w:val="2"/>
        </w:numPr>
        <w:spacing w:after="100" w:afterAutospacing="1"/>
        <w:ind w:left="1134"/>
        <w:jc w:val="both"/>
        <w:rPr>
          <w:szCs w:val="20"/>
          <w:highlight w:val="cyan"/>
        </w:rPr>
      </w:pPr>
      <w:r w:rsidRPr="00DD2D2F">
        <w:rPr>
          <w:b/>
          <w:szCs w:val="20"/>
          <w:highlight w:val="cyan"/>
        </w:rPr>
        <w:t>SUSTENTA</w:t>
      </w:r>
      <w:r w:rsidR="00B52AA8" w:rsidRPr="00DD2D2F">
        <w:rPr>
          <w:b/>
          <w:szCs w:val="20"/>
          <w:highlight w:val="cyan"/>
        </w:rPr>
        <w:t>CIÓN</w:t>
      </w:r>
      <w:r w:rsidRPr="00DD2D2F">
        <w:rPr>
          <w:b/>
          <w:szCs w:val="20"/>
          <w:highlight w:val="cyan"/>
        </w:rPr>
        <w:t>/DEFENSA</w:t>
      </w:r>
      <w:r w:rsidRPr="00DD2D2F">
        <w:rPr>
          <w:szCs w:val="20"/>
          <w:highlight w:val="cyan"/>
        </w:rPr>
        <w:t xml:space="preserve">. Una vez se exponga y se explique y sustente el valor del avalúo ante el SOLICITANTE/CONTRATANTE, se dará por entregado dicho mandato de servicios. Para Sustentaciones posteriores, de requerirse se pactará el valor de dicho Servicio Adicional, </w:t>
      </w:r>
      <w:r w:rsidR="004533DC" w:rsidRPr="00DD2D2F">
        <w:rPr>
          <w:szCs w:val="20"/>
          <w:highlight w:val="cyan"/>
        </w:rPr>
        <w:t xml:space="preserve">aun siendo </w:t>
      </w:r>
      <w:r w:rsidRPr="00DD2D2F">
        <w:rPr>
          <w:szCs w:val="20"/>
          <w:highlight w:val="cyan"/>
        </w:rPr>
        <w:t>solicit</w:t>
      </w:r>
      <w:r w:rsidR="004533DC" w:rsidRPr="00DD2D2F">
        <w:rPr>
          <w:szCs w:val="20"/>
          <w:highlight w:val="cyan"/>
        </w:rPr>
        <w:t xml:space="preserve">ado por </w:t>
      </w:r>
      <w:r w:rsidRPr="00DD2D2F">
        <w:rPr>
          <w:szCs w:val="20"/>
          <w:highlight w:val="cyan"/>
        </w:rPr>
        <w:t xml:space="preserve">Autoridad Competente. De todas </w:t>
      </w:r>
      <w:r w:rsidR="004533DC" w:rsidRPr="00DD2D2F">
        <w:rPr>
          <w:szCs w:val="20"/>
          <w:highlight w:val="cyan"/>
        </w:rPr>
        <w:t>maneras,</w:t>
      </w:r>
      <w:r w:rsidRPr="00DD2D2F">
        <w:rPr>
          <w:szCs w:val="20"/>
          <w:highlight w:val="cyan"/>
        </w:rPr>
        <w:t xml:space="preserve"> el valor </w:t>
      </w:r>
      <w:r w:rsidR="004533DC" w:rsidRPr="00DD2D2F">
        <w:rPr>
          <w:szCs w:val="20"/>
          <w:highlight w:val="cyan"/>
        </w:rPr>
        <w:t xml:space="preserve">mínimo, por hora, a pactar será del </w:t>
      </w:r>
      <w:r w:rsidRPr="00DD2D2F">
        <w:rPr>
          <w:szCs w:val="20"/>
          <w:highlight w:val="cyan"/>
        </w:rPr>
        <w:t>15% de un SMLVM.</w:t>
      </w:r>
      <w:r w:rsidR="00750428" w:rsidRPr="00DD2D2F">
        <w:rPr>
          <w:szCs w:val="20"/>
          <w:highlight w:val="cyan"/>
        </w:rPr>
        <w:t xml:space="preserve"> (múltiplos de 10.000)</w:t>
      </w:r>
      <w:r w:rsidR="00DB17D0" w:rsidRPr="00DD2D2F">
        <w:rPr>
          <w:szCs w:val="20"/>
          <w:highlight w:val="cyan"/>
        </w:rPr>
        <w:t>.</w:t>
      </w:r>
    </w:p>
    <w:p w:rsidR="00DB17D0" w:rsidRPr="00DD2D2F" w:rsidRDefault="00DB17D0" w:rsidP="00FE7A23">
      <w:pPr>
        <w:pStyle w:val="Default"/>
        <w:numPr>
          <w:ilvl w:val="0"/>
          <w:numId w:val="2"/>
        </w:numPr>
        <w:spacing w:after="100" w:afterAutospacing="1"/>
        <w:ind w:left="1134"/>
        <w:jc w:val="both"/>
        <w:rPr>
          <w:szCs w:val="20"/>
          <w:highlight w:val="cyan"/>
        </w:rPr>
      </w:pPr>
      <w:r w:rsidRPr="00DD2D2F">
        <w:rPr>
          <w:b/>
          <w:szCs w:val="20"/>
          <w:highlight w:val="cyan"/>
        </w:rPr>
        <w:t xml:space="preserve">APLICACIÓN DE VARIAS METODOLOGIA VALUATORIAS. </w:t>
      </w:r>
      <w:r w:rsidRPr="00DD2D2F">
        <w:rPr>
          <w:szCs w:val="20"/>
          <w:highlight w:val="cyan"/>
        </w:rPr>
        <w:t>Cuando las condiciones del inmueble objeto del análisis permitan la aplicación de uno o más de los métodos enunciad</w:t>
      </w:r>
      <w:r w:rsidR="008D5FAE" w:rsidRPr="00DD2D2F">
        <w:rPr>
          <w:szCs w:val="20"/>
          <w:highlight w:val="cyan"/>
        </w:rPr>
        <w:t xml:space="preserve">os en el artículo anterior, el </w:t>
      </w:r>
      <w:r w:rsidRPr="00DD2D2F">
        <w:rPr>
          <w:szCs w:val="20"/>
          <w:highlight w:val="cyan"/>
        </w:rPr>
        <w:t>valuador debe realizar las estimaciones correspondientes y sustentar el valor que se determine. (</w:t>
      </w:r>
      <w:r w:rsidR="00CF0C3C" w:rsidRPr="00DD2D2F">
        <w:rPr>
          <w:szCs w:val="20"/>
          <w:highlight w:val="cyan"/>
        </w:rPr>
        <w:t>Artículo</w:t>
      </w:r>
      <w:r w:rsidRPr="00DD2D2F">
        <w:rPr>
          <w:szCs w:val="20"/>
          <w:highlight w:val="cyan"/>
        </w:rPr>
        <w:t xml:space="preserve"> 26° </w:t>
      </w:r>
      <w:r w:rsidR="008849AE" w:rsidRPr="00DD2D2F">
        <w:rPr>
          <w:szCs w:val="20"/>
          <w:highlight w:val="cyan"/>
        </w:rPr>
        <w:t>Decreto</w:t>
      </w:r>
      <w:r w:rsidRPr="00DD2D2F">
        <w:rPr>
          <w:szCs w:val="20"/>
          <w:highlight w:val="cyan"/>
        </w:rPr>
        <w:t xml:space="preserve"> 1420 de 1998)</w:t>
      </w:r>
    </w:p>
    <w:p w:rsidR="000916AD" w:rsidRPr="00DD2D2F" w:rsidRDefault="000916AD" w:rsidP="00FE7A23">
      <w:pPr>
        <w:pStyle w:val="Default"/>
        <w:numPr>
          <w:ilvl w:val="0"/>
          <w:numId w:val="2"/>
        </w:numPr>
        <w:spacing w:after="100" w:afterAutospacing="1"/>
        <w:ind w:left="1134"/>
        <w:jc w:val="both"/>
        <w:rPr>
          <w:sz w:val="22"/>
          <w:szCs w:val="20"/>
          <w:highlight w:val="cyan"/>
        </w:rPr>
      </w:pPr>
      <w:r w:rsidRPr="00DD2D2F">
        <w:rPr>
          <w:b/>
          <w:szCs w:val="20"/>
          <w:highlight w:val="cyan"/>
        </w:rPr>
        <w:t>OBRAS EN PROCESO.</w:t>
      </w:r>
      <w:r w:rsidRPr="00DD2D2F">
        <w:rPr>
          <w:szCs w:val="20"/>
          <w:highlight w:val="cyan"/>
        </w:rPr>
        <w:t xml:space="preserve"> </w:t>
      </w:r>
      <w:r w:rsidRPr="00DD2D2F">
        <w:rPr>
          <w:szCs w:val="27"/>
          <w:highlight w:val="cyan"/>
          <w:shd w:val="clear" w:color="auto" w:fill="FFFFFF"/>
        </w:rPr>
        <w:t>Cuando el inmueble objeto del avalúo cuente con obras de urbanización o construcción adelantadas sin el lleno de los requisitos legales, estas no se tendrán en consideración para la determinación del valor comercial y deberá dejarse expresa constancia de tal situación en el avalúo</w:t>
      </w:r>
      <w:r w:rsidR="00846FBA" w:rsidRPr="00DD2D2F">
        <w:rPr>
          <w:szCs w:val="27"/>
          <w:highlight w:val="cyan"/>
          <w:shd w:val="clear" w:color="auto" w:fill="FFFFFF"/>
        </w:rPr>
        <w:t xml:space="preserve"> (Artículo 30° </w:t>
      </w:r>
      <w:r w:rsidR="008849AE" w:rsidRPr="00DD2D2F">
        <w:rPr>
          <w:szCs w:val="27"/>
          <w:highlight w:val="cyan"/>
          <w:shd w:val="clear" w:color="auto" w:fill="FFFFFF"/>
        </w:rPr>
        <w:t>Decreto</w:t>
      </w:r>
      <w:r w:rsidR="00846FBA" w:rsidRPr="00DD2D2F">
        <w:rPr>
          <w:szCs w:val="27"/>
          <w:highlight w:val="cyan"/>
          <w:shd w:val="clear" w:color="auto" w:fill="FFFFFF"/>
        </w:rPr>
        <w:t xml:space="preserve"> 1420 de 1998).</w:t>
      </w:r>
    </w:p>
    <w:p w:rsidR="00BE275A" w:rsidRPr="00DD2D2F" w:rsidRDefault="00BE275A" w:rsidP="00FE7A23">
      <w:pPr>
        <w:pStyle w:val="Default"/>
        <w:numPr>
          <w:ilvl w:val="0"/>
          <w:numId w:val="2"/>
        </w:numPr>
        <w:spacing w:after="100" w:afterAutospacing="1"/>
        <w:ind w:left="1134"/>
        <w:jc w:val="both"/>
        <w:rPr>
          <w:szCs w:val="20"/>
          <w:highlight w:val="cyan"/>
        </w:rPr>
      </w:pPr>
      <w:r w:rsidRPr="00DD2D2F">
        <w:rPr>
          <w:b/>
          <w:szCs w:val="20"/>
          <w:highlight w:val="cyan"/>
        </w:rPr>
        <w:t>DOCUMENTO DIGITAL.</w:t>
      </w:r>
      <w:r w:rsidRPr="00DD2D2F">
        <w:rPr>
          <w:szCs w:val="20"/>
          <w:highlight w:val="cyan"/>
        </w:rPr>
        <w:t xml:space="preserve"> Este documento en forma digital no está firmado, solo estará firmado el documento físico que se entrega al SOLICITANTE/CONTRATANTE.</w:t>
      </w:r>
    </w:p>
    <w:p w:rsidR="00BE275A" w:rsidRPr="00D66E05" w:rsidRDefault="00BE275A" w:rsidP="00D66E05">
      <w:pPr>
        <w:pStyle w:val="Default"/>
        <w:numPr>
          <w:ilvl w:val="0"/>
          <w:numId w:val="3"/>
        </w:numPr>
        <w:spacing w:after="100" w:afterAutospacing="1"/>
        <w:ind w:hanging="578"/>
        <w:jc w:val="both"/>
        <w:rPr>
          <w:b/>
          <w:bCs/>
          <w:sz w:val="32"/>
          <w:szCs w:val="22"/>
        </w:rPr>
      </w:pPr>
      <w:r w:rsidRPr="00D66E05">
        <w:rPr>
          <w:b/>
          <w:bCs/>
          <w:sz w:val="32"/>
          <w:szCs w:val="22"/>
        </w:rPr>
        <w:t>DOCUMENTA</w:t>
      </w:r>
      <w:r w:rsidR="00B52AA8">
        <w:rPr>
          <w:b/>
          <w:bCs/>
          <w:sz w:val="32"/>
          <w:szCs w:val="22"/>
        </w:rPr>
        <w:t>CIÓN</w:t>
      </w:r>
      <w:r w:rsidRPr="00D66E05">
        <w:rPr>
          <w:b/>
          <w:bCs/>
          <w:sz w:val="32"/>
          <w:szCs w:val="22"/>
        </w:rPr>
        <w:t xml:space="preserve"> SUMINISTRADA</w:t>
      </w:r>
      <w:r w:rsidR="000E31B5" w:rsidRPr="00D66E05">
        <w:rPr>
          <w:b/>
          <w:bCs/>
          <w:sz w:val="32"/>
          <w:szCs w:val="22"/>
        </w:rPr>
        <w:t xml:space="preserve"> POR CADA INMUEBLE</w:t>
      </w:r>
      <w:r w:rsidRPr="00D66E05">
        <w:rPr>
          <w:b/>
          <w:bCs/>
          <w:sz w:val="32"/>
          <w:szCs w:val="22"/>
        </w:rPr>
        <w:t xml:space="preserve">. </w:t>
      </w:r>
      <w:r w:rsidRPr="008A70B3">
        <w:rPr>
          <w:b/>
          <w:bCs/>
          <w:szCs w:val="22"/>
        </w:rPr>
        <w:t>(</w:t>
      </w:r>
      <w:r w:rsidR="00C113DE" w:rsidRPr="008A70B3">
        <w:rPr>
          <w:b/>
          <w:bCs/>
          <w:szCs w:val="22"/>
        </w:rPr>
        <w:t>Artículo</w:t>
      </w:r>
      <w:r w:rsidRPr="008A70B3">
        <w:rPr>
          <w:b/>
          <w:bCs/>
          <w:szCs w:val="22"/>
        </w:rPr>
        <w:t xml:space="preserve"> 13° </w:t>
      </w:r>
      <w:r w:rsidR="008849AE">
        <w:rPr>
          <w:b/>
          <w:bCs/>
          <w:szCs w:val="22"/>
        </w:rPr>
        <w:t>Decreto</w:t>
      </w:r>
      <w:r w:rsidRPr="008A70B3">
        <w:rPr>
          <w:b/>
          <w:bCs/>
          <w:szCs w:val="22"/>
        </w:rPr>
        <w:t xml:space="preserve"> 1420 de 1998)</w:t>
      </w:r>
      <w:r w:rsidR="00327869">
        <w:rPr>
          <w:b/>
          <w:bCs/>
          <w:szCs w:val="22"/>
        </w:rPr>
        <w:t>:</w:t>
      </w:r>
    </w:p>
    <w:p w:rsidR="00BE275A" w:rsidRPr="00CE023D" w:rsidRDefault="00BE275A" w:rsidP="00BE275A">
      <w:pPr>
        <w:pStyle w:val="Default"/>
        <w:numPr>
          <w:ilvl w:val="0"/>
          <w:numId w:val="5"/>
        </w:numPr>
        <w:spacing w:after="100" w:afterAutospacing="1"/>
        <w:jc w:val="both"/>
        <w:rPr>
          <w:b/>
          <w:szCs w:val="20"/>
        </w:rPr>
      </w:pPr>
      <w:r w:rsidRPr="00CE023D">
        <w:rPr>
          <w:b/>
          <w:szCs w:val="20"/>
        </w:rPr>
        <w:t>AVALUO POR NORMA.</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 xml:space="preserve">Escritura </w:t>
      </w:r>
      <w:r w:rsidR="00AB6A56" w:rsidRPr="00CE023D">
        <w:rPr>
          <w:szCs w:val="20"/>
        </w:rPr>
        <w:t xml:space="preserve">Publica </w:t>
      </w:r>
      <w:r w:rsidRPr="00CE023D">
        <w:rPr>
          <w:szCs w:val="20"/>
        </w:rPr>
        <w:t>Notariada</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 xml:space="preserve">Ficha Catastral del Lote </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Certificado de Libertad de las matrículas</w:t>
      </w:r>
      <w:r w:rsidR="00C113DE" w:rsidRPr="00CE023D">
        <w:rPr>
          <w:szCs w:val="20"/>
        </w:rPr>
        <w:t xml:space="preserve"> a la fecha de aceptación del mandato Valuatorio</w:t>
      </w:r>
      <w:r w:rsidRPr="00CE023D">
        <w:rPr>
          <w:szCs w:val="20"/>
        </w:rPr>
        <w:t>.</w:t>
      </w:r>
    </w:p>
    <w:p w:rsidR="00B642D6" w:rsidRPr="00CE023D" w:rsidRDefault="00B642D6" w:rsidP="00FE7A23">
      <w:pPr>
        <w:pStyle w:val="Default"/>
        <w:numPr>
          <w:ilvl w:val="0"/>
          <w:numId w:val="4"/>
        </w:numPr>
        <w:spacing w:after="100" w:afterAutospacing="1"/>
        <w:ind w:left="1560"/>
        <w:jc w:val="both"/>
        <w:rPr>
          <w:szCs w:val="20"/>
        </w:rPr>
      </w:pPr>
      <w:r w:rsidRPr="00CE023D">
        <w:rPr>
          <w:szCs w:val="20"/>
        </w:rPr>
        <w:t>Licencia de Construcción.</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Plano de Construcciones</w:t>
      </w:r>
    </w:p>
    <w:p w:rsidR="00B642D6" w:rsidRPr="00CE023D" w:rsidRDefault="00BE275A" w:rsidP="00FE7A23">
      <w:pPr>
        <w:pStyle w:val="Default"/>
        <w:numPr>
          <w:ilvl w:val="0"/>
          <w:numId w:val="4"/>
        </w:numPr>
        <w:spacing w:after="100" w:afterAutospacing="1"/>
        <w:ind w:left="1560"/>
        <w:jc w:val="both"/>
        <w:rPr>
          <w:szCs w:val="20"/>
        </w:rPr>
      </w:pPr>
      <w:r w:rsidRPr="00CE023D">
        <w:rPr>
          <w:szCs w:val="20"/>
        </w:rPr>
        <w:t>Reglamento de propiedad Horizontal si es pertinente.</w:t>
      </w:r>
    </w:p>
    <w:p w:rsidR="00BE275A" w:rsidRPr="00CE023D" w:rsidRDefault="00B642D6" w:rsidP="00FE7A23">
      <w:pPr>
        <w:pStyle w:val="Default"/>
        <w:numPr>
          <w:ilvl w:val="0"/>
          <w:numId w:val="4"/>
        </w:numPr>
        <w:spacing w:after="100" w:afterAutospacing="1"/>
        <w:ind w:left="1560"/>
        <w:jc w:val="both"/>
        <w:rPr>
          <w:szCs w:val="20"/>
        </w:rPr>
      </w:pPr>
      <w:r w:rsidRPr="00CE023D">
        <w:rPr>
          <w:szCs w:val="20"/>
        </w:rPr>
        <w:t>Copia del Pago de Zonas comunes si aplica Régimen de Propiedad Horizontal</w:t>
      </w:r>
      <w:r w:rsidR="00BE275A" w:rsidRPr="00CE023D">
        <w:rPr>
          <w:szCs w:val="20"/>
        </w:rPr>
        <w:t xml:space="preserve"> </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Copia de especificaciones urbanísticas vigentes</w:t>
      </w:r>
      <w:r w:rsidR="00AB6A56" w:rsidRPr="00CE023D">
        <w:rPr>
          <w:szCs w:val="20"/>
        </w:rPr>
        <w:t xml:space="preserve"> (uso del suelo POT</w:t>
      </w:r>
      <w:r w:rsidR="00C113DE" w:rsidRPr="00CE023D">
        <w:rPr>
          <w:szCs w:val="20"/>
        </w:rPr>
        <w:t xml:space="preserve"> vigente)</w:t>
      </w:r>
      <w:r w:rsidRPr="00CE023D">
        <w:rPr>
          <w:szCs w:val="20"/>
        </w:rPr>
        <w:t>.</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Copia de Impuesto Predial</w:t>
      </w:r>
      <w:r w:rsidR="00B642D6" w:rsidRPr="00CE023D">
        <w:rPr>
          <w:szCs w:val="20"/>
        </w:rPr>
        <w:t>, año en curso</w:t>
      </w:r>
      <w:r w:rsidR="00C113DE" w:rsidRPr="00CE023D">
        <w:rPr>
          <w:szCs w:val="20"/>
        </w:rPr>
        <w:t>.</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Certificado de estratificación (</w:t>
      </w:r>
      <w:r w:rsidR="003944D2" w:rsidRPr="00CE023D">
        <w:rPr>
          <w:szCs w:val="20"/>
        </w:rPr>
        <w:t>o</w:t>
      </w:r>
      <w:r w:rsidR="00B642D6" w:rsidRPr="00CE023D">
        <w:rPr>
          <w:szCs w:val="20"/>
        </w:rPr>
        <w:t xml:space="preserve"> </w:t>
      </w:r>
      <w:r w:rsidRPr="00CE023D">
        <w:rPr>
          <w:szCs w:val="20"/>
        </w:rPr>
        <w:t>copia servicios públicos)</w:t>
      </w:r>
    </w:p>
    <w:p w:rsidR="00BE275A" w:rsidRPr="00CE023D" w:rsidRDefault="00BE275A" w:rsidP="00FE7A23">
      <w:pPr>
        <w:pStyle w:val="Default"/>
        <w:numPr>
          <w:ilvl w:val="0"/>
          <w:numId w:val="4"/>
        </w:numPr>
        <w:spacing w:after="100" w:afterAutospacing="1"/>
        <w:ind w:left="1560"/>
        <w:jc w:val="both"/>
        <w:rPr>
          <w:szCs w:val="20"/>
        </w:rPr>
      </w:pPr>
      <w:r w:rsidRPr="00CE023D">
        <w:rPr>
          <w:szCs w:val="20"/>
        </w:rPr>
        <w:t>Contratos de Arrendamiento si los hubiera</w:t>
      </w:r>
      <w:r w:rsidR="00B642D6" w:rsidRPr="00CE023D">
        <w:rPr>
          <w:szCs w:val="20"/>
        </w:rPr>
        <w:t>.</w:t>
      </w:r>
    </w:p>
    <w:p w:rsidR="00B642D6" w:rsidRPr="00565B17" w:rsidRDefault="00B642D6" w:rsidP="00B642D6">
      <w:pPr>
        <w:pStyle w:val="Default"/>
        <w:spacing w:after="100" w:afterAutospacing="1"/>
        <w:ind w:left="720"/>
        <w:jc w:val="both"/>
        <w:rPr>
          <w:szCs w:val="20"/>
          <w:highlight w:val="cyan"/>
        </w:rPr>
      </w:pPr>
      <w:r w:rsidRPr="00565B17">
        <w:rPr>
          <w:szCs w:val="20"/>
          <w:highlight w:val="cyan"/>
        </w:rPr>
        <w:t>NOTA:</w:t>
      </w:r>
    </w:p>
    <w:p w:rsidR="00B642D6" w:rsidRPr="00565B17" w:rsidRDefault="00B642D6" w:rsidP="00B642D6">
      <w:pPr>
        <w:pStyle w:val="Default"/>
        <w:numPr>
          <w:ilvl w:val="0"/>
          <w:numId w:val="15"/>
        </w:numPr>
        <w:spacing w:after="100" w:afterAutospacing="1"/>
        <w:jc w:val="both"/>
        <w:rPr>
          <w:szCs w:val="20"/>
          <w:highlight w:val="cyan"/>
        </w:rPr>
      </w:pPr>
      <w:r w:rsidRPr="00565B17">
        <w:rPr>
          <w:b/>
          <w:szCs w:val="20"/>
          <w:highlight w:val="cyan"/>
        </w:rPr>
        <w:lastRenderedPageBreak/>
        <w:t>PROYECTO DE INFRAESTRUCTURA.</w:t>
      </w:r>
      <w:r w:rsidRPr="00565B17">
        <w:rPr>
          <w:szCs w:val="20"/>
          <w:highlight w:val="cyan"/>
        </w:rPr>
        <w:t xml:space="preserve"> En vista de que los avalúos para predios con afectación de Obras de Infraestructura tienen una Metodología particular, debe indicar además qué compañía adelanta dicho proyecto de infraestructura y aportar el Avalúo Comercial que la Empresa hizo para el sistema de negociación de predios</w:t>
      </w:r>
      <w:r w:rsidR="00950B19" w:rsidRPr="00565B17">
        <w:rPr>
          <w:szCs w:val="20"/>
          <w:highlight w:val="cyan"/>
        </w:rPr>
        <w:t xml:space="preserve">. (Resolución IGAC 898 </w:t>
      </w:r>
      <w:r w:rsidR="00682D5A" w:rsidRPr="00565B17">
        <w:rPr>
          <w:szCs w:val="20"/>
          <w:highlight w:val="cyan"/>
        </w:rPr>
        <w:t xml:space="preserve">y 1044 </w:t>
      </w:r>
      <w:r w:rsidR="00950B19" w:rsidRPr="00565B17">
        <w:rPr>
          <w:szCs w:val="20"/>
          <w:highlight w:val="cyan"/>
        </w:rPr>
        <w:t>de 2014)</w:t>
      </w:r>
    </w:p>
    <w:p w:rsidR="00B642D6" w:rsidRPr="00565B17" w:rsidRDefault="00B642D6" w:rsidP="00B642D6">
      <w:pPr>
        <w:pStyle w:val="Default"/>
        <w:numPr>
          <w:ilvl w:val="0"/>
          <w:numId w:val="15"/>
        </w:numPr>
        <w:spacing w:after="100" w:afterAutospacing="1"/>
        <w:jc w:val="both"/>
        <w:rPr>
          <w:szCs w:val="20"/>
          <w:highlight w:val="green"/>
        </w:rPr>
      </w:pPr>
      <w:r w:rsidRPr="00565B17">
        <w:rPr>
          <w:b/>
          <w:szCs w:val="20"/>
          <w:highlight w:val="green"/>
        </w:rPr>
        <w:t>PLUSVALIA</w:t>
      </w:r>
      <w:r w:rsidRPr="00565B17">
        <w:rPr>
          <w:szCs w:val="20"/>
          <w:highlight w:val="green"/>
        </w:rPr>
        <w:t>. Si el municipio ha adelantado la socialización del cobro de Plusvalía, favor aportar documentación pertinente entregada por la Oficina de Planeación Municipal.</w:t>
      </w:r>
      <w:r w:rsidR="00E36E9C" w:rsidRPr="00565B17">
        <w:rPr>
          <w:szCs w:val="20"/>
          <w:highlight w:val="green"/>
        </w:rPr>
        <w:t xml:space="preserve"> (decreto 1420 de 1998)</w:t>
      </w:r>
    </w:p>
    <w:p w:rsidR="00B642D6" w:rsidRPr="003D7C2E" w:rsidRDefault="00B642D6" w:rsidP="00266C33">
      <w:pPr>
        <w:pStyle w:val="Default"/>
        <w:numPr>
          <w:ilvl w:val="0"/>
          <w:numId w:val="15"/>
        </w:numPr>
        <w:spacing w:after="100" w:afterAutospacing="1"/>
        <w:jc w:val="both"/>
        <w:rPr>
          <w:szCs w:val="20"/>
          <w:highlight w:val="cyan"/>
        </w:rPr>
      </w:pPr>
      <w:r w:rsidRPr="003D7C2E">
        <w:rPr>
          <w:b/>
          <w:szCs w:val="20"/>
          <w:highlight w:val="cyan"/>
        </w:rPr>
        <w:t>VALORIZA</w:t>
      </w:r>
      <w:r w:rsidR="00B52AA8" w:rsidRPr="003D7C2E">
        <w:rPr>
          <w:b/>
          <w:szCs w:val="20"/>
          <w:highlight w:val="cyan"/>
        </w:rPr>
        <w:t>CIÓN</w:t>
      </w:r>
      <w:r w:rsidRPr="003D7C2E">
        <w:rPr>
          <w:b/>
          <w:szCs w:val="20"/>
          <w:highlight w:val="cyan"/>
        </w:rPr>
        <w:t>.</w:t>
      </w:r>
      <w:r w:rsidRPr="003D7C2E">
        <w:rPr>
          <w:szCs w:val="20"/>
          <w:highlight w:val="cyan"/>
        </w:rPr>
        <w:t xml:space="preserve"> Se el inmueble está gravado por cobro de Valorización, favor aportar documentación que la Secretaria de Planeación Municipal ha socializado con el propietario.</w:t>
      </w:r>
      <w:r w:rsidR="00F62EEA" w:rsidRPr="003D7C2E">
        <w:rPr>
          <w:szCs w:val="20"/>
          <w:highlight w:val="cyan"/>
        </w:rPr>
        <w:t xml:space="preserve"> (Decreto 1604 de 1966).</w:t>
      </w:r>
    </w:p>
    <w:p w:rsidR="0051634B" w:rsidRPr="003D7C2E" w:rsidRDefault="0051634B" w:rsidP="00266C33">
      <w:pPr>
        <w:pStyle w:val="Default"/>
        <w:numPr>
          <w:ilvl w:val="0"/>
          <w:numId w:val="15"/>
        </w:numPr>
        <w:spacing w:after="100" w:afterAutospacing="1"/>
        <w:jc w:val="both"/>
        <w:rPr>
          <w:szCs w:val="20"/>
          <w:highlight w:val="green"/>
        </w:rPr>
      </w:pPr>
      <w:r w:rsidRPr="003D7C2E">
        <w:rPr>
          <w:b/>
          <w:szCs w:val="20"/>
          <w:highlight w:val="green"/>
        </w:rPr>
        <w:t>NORMAS NIIF/NIC-SP</w:t>
      </w:r>
      <w:r w:rsidR="00EB3739" w:rsidRPr="003D7C2E">
        <w:rPr>
          <w:b/>
          <w:szCs w:val="20"/>
          <w:highlight w:val="green"/>
        </w:rPr>
        <w:t xml:space="preserve"> </w:t>
      </w:r>
      <w:r w:rsidR="00EB3739" w:rsidRPr="003D7C2E">
        <w:rPr>
          <w:szCs w:val="20"/>
          <w:highlight w:val="green"/>
        </w:rPr>
        <w:t>(Decretos 2706/2784 de 2012</w:t>
      </w:r>
      <w:r w:rsidR="007F0300" w:rsidRPr="003D7C2E">
        <w:rPr>
          <w:szCs w:val="20"/>
          <w:highlight w:val="green"/>
        </w:rPr>
        <w:t>; Leyes 1314 del 2009, ley 1450 del 2011</w:t>
      </w:r>
      <w:r w:rsidR="00EB3739" w:rsidRPr="003D7C2E">
        <w:rPr>
          <w:szCs w:val="20"/>
          <w:highlight w:val="green"/>
        </w:rPr>
        <w:t xml:space="preserve"> y demás)</w:t>
      </w:r>
      <w:r w:rsidRPr="003D7C2E">
        <w:rPr>
          <w:szCs w:val="20"/>
          <w:highlight w:val="green"/>
        </w:rPr>
        <w:t xml:space="preserve">. Si el Objeto valuatorio es la de realizar los avalúos según las Normas Internacionales de Información Financiera, </w:t>
      </w:r>
      <w:r w:rsidR="007F0300" w:rsidRPr="003D7C2E">
        <w:rPr>
          <w:szCs w:val="20"/>
          <w:highlight w:val="green"/>
        </w:rPr>
        <w:t xml:space="preserve">tanto para el sector privado como para el sector público (SP) adicional a la documentación </w:t>
      </w:r>
      <w:r w:rsidRPr="003D7C2E">
        <w:rPr>
          <w:szCs w:val="20"/>
          <w:highlight w:val="green"/>
        </w:rPr>
        <w:t>arriba detallados se necesitan:</w:t>
      </w:r>
    </w:p>
    <w:p w:rsidR="0051634B" w:rsidRPr="003D7C2E" w:rsidRDefault="0051634B" w:rsidP="0051634B">
      <w:pPr>
        <w:pStyle w:val="Default"/>
        <w:numPr>
          <w:ilvl w:val="1"/>
          <w:numId w:val="15"/>
        </w:numPr>
        <w:spacing w:after="100" w:afterAutospacing="1"/>
        <w:ind w:left="1418"/>
        <w:jc w:val="both"/>
        <w:rPr>
          <w:szCs w:val="20"/>
          <w:highlight w:val="green"/>
        </w:rPr>
      </w:pPr>
      <w:r w:rsidRPr="003D7C2E">
        <w:rPr>
          <w:szCs w:val="20"/>
          <w:highlight w:val="green"/>
        </w:rPr>
        <w:t>Política Contable de  la Empresa específica para lo que se requiere valuar.</w:t>
      </w:r>
    </w:p>
    <w:p w:rsidR="0051634B" w:rsidRPr="003D7C2E" w:rsidRDefault="0051634B" w:rsidP="0051634B">
      <w:pPr>
        <w:pStyle w:val="Default"/>
        <w:numPr>
          <w:ilvl w:val="1"/>
          <w:numId w:val="15"/>
        </w:numPr>
        <w:spacing w:after="100" w:afterAutospacing="1"/>
        <w:ind w:left="1418"/>
        <w:jc w:val="both"/>
        <w:rPr>
          <w:szCs w:val="20"/>
          <w:highlight w:val="green"/>
        </w:rPr>
      </w:pPr>
      <w:r w:rsidRPr="003D7C2E">
        <w:rPr>
          <w:szCs w:val="20"/>
          <w:highlight w:val="green"/>
        </w:rPr>
        <w:t>Avalúos realizados para la Implementación de los mismos</w:t>
      </w:r>
    </w:p>
    <w:p w:rsidR="0051634B" w:rsidRPr="003D7C2E" w:rsidRDefault="0051634B" w:rsidP="0051634B">
      <w:pPr>
        <w:pStyle w:val="Default"/>
        <w:numPr>
          <w:ilvl w:val="1"/>
          <w:numId w:val="15"/>
        </w:numPr>
        <w:spacing w:after="100" w:afterAutospacing="1"/>
        <w:ind w:left="1418"/>
        <w:jc w:val="both"/>
        <w:rPr>
          <w:szCs w:val="20"/>
          <w:highlight w:val="green"/>
        </w:rPr>
      </w:pPr>
      <w:r w:rsidRPr="003D7C2E">
        <w:rPr>
          <w:szCs w:val="20"/>
          <w:highlight w:val="green"/>
        </w:rPr>
        <w:t>Clasificación de los Activos</w:t>
      </w:r>
    </w:p>
    <w:p w:rsidR="007F0300" w:rsidRPr="003D7C2E" w:rsidRDefault="00A06FF2" w:rsidP="007F0300">
      <w:pPr>
        <w:pStyle w:val="Default"/>
        <w:numPr>
          <w:ilvl w:val="0"/>
          <w:numId w:val="15"/>
        </w:numPr>
        <w:spacing w:after="100" w:afterAutospacing="1"/>
        <w:jc w:val="both"/>
        <w:rPr>
          <w:szCs w:val="20"/>
          <w:highlight w:val="cyan"/>
        </w:rPr>
      </w:pPr>
      <w:r w:rsidRPr="003D7C2E">
        <w:rPr>
          <w:b/>
          <w:szCs w:val="20"/>
          <w:highlight w:val="cyan"/>
        </w:rPr>
        <w:t>CONTRATA</w:t>
      </w:r>
      <w:r w:rsidR="00B52AA8" w:rsidRPr="003D7C2E">
        <w:rPr>
          <w:b/>
          <w:szCs w:val="20"/>
          <w:highlight w:val="cyan"/>
        </w:rPr>
        <w:t>CIÓN</w:t>
      </w:r>
      <w:r w:rsidRPr="003D7C2E">
        <w:rPr>
          <w:b/>
          <w:szCs w:val="20"/>
          <w:highlight w:val="cyan"/>
        </w:rPr>
        <w:t xml:space="preserve"> CON EL ESTADO</w:t>
      </w:r>
      <w:r w:rsidRPr="003D7C2E">
        <w:rPr>
          <w:szCs w:val="20"/>
          <w:highlight w:val="cyan"/>
        </w:rPr>
        <w:t xml:space="preserve">. </w:t>
      </w:r>
      <w:r w:rsidR="00A42530" w:rsidRPr="003D7C2E">
        <w:rPr>
          <w:szCs w:val="20"/>
          <w:highlight w:val="cyan"/>
        </w:rPr>
        <w:t xml:space="preserve">Las distintas modalidades de contratación con </w:t>
      </w:r>
      <w:r w:rsidR="00D351BC" w:rsidRPr="003D7C2E">
        <w:rPr>
          <w:szCs w:val="20"/>
          <w:highlight w:val="cyan"/>
        </w:rPr>
        <w:t xml:space="preserve">Recursos Públicos </w:t>
      </w:r>
      <w:r w:rsidR="00A42530" w:rsidRPr="003D7C2E">
        <w:rPr>
          <w:szCs w:val="20"/>
          <w:highlight w:val="cyan"/>
        </w:rPr>
        <w:t>se presenta bajo las siguientes figuras contractuales:</w:t>
      </w:r>
    </w:p>
    <w:p w:rsidR="00A42530" w:rsidRPr="003D7C2E" w:rsidRDefault="00A42530" w:rsidP="00A42530">
      <w:pPr>
        <w:pStyle w:val="Default"/>
        <w:numPr>
          <w:ilvl w:val="1"/>
          <w:numId w:val="15"/>
        </w:numPr>
        <w:spacing w:after="100" w:afterAutospacing="1"/>
        <w:ind w:left="1418"/>
        <w:jc w:val="both"/>
        <w:rPr>
          <w:szCs w:val="20"/>
          <w:highlight w:val="cyan"/>
        </w:rPr>
      </w:pPr>
      <w:r w:rsidRPr="003D7C2E">
        <w:rPr>
          <w:b/>
          <w:szCs w:val="20"/>
          <w:highlight w:val="cyan"/>
        </w:rPr>
        <w:t xml:space="preserve">Licitación </w:t>
      </w:r>
      <w:r w:rsidR="00C94332" w:rsidRPr="003D7C2E">
        <w:rPr>
          <w:b/>
          <w:szCs w:val="20"/>
          <w:highlight w:val="cyan"/>
        </w:rPr>
        <w:t>Pública</w:t>
      </w:r>
      <w:r w:rsidRPr="003D7C2E">
        <w:rPr>
          <w:b/>
          <w:szCs w:val="20"/>
          <w:highlight w:val="cyan"/>
        </w:rPr>
        <w:t xml:space="preserve">: </w:t>
      </w:r>
      <w:r w:rsidR="00CD2111" w:rsidRPr="003D7C2E">
        <w:rPr>
          <w:szCs w:val="20"/>
          <w:highlight w:val="cyan"/>
        </w:rPr>
        <w:t>que cumpla no los términos de referencia exigidos por la</w:t>
      </w:r>
      <w:r w:rsidR="00CD2111" w:rsidRPr="003D7C2E">
        <w:rPr>
          <w:b/>
          <w:szCs w:val="20"/>
          <w:highlight w:val="cyan"/>
        </w:rPr>
        <w:t xml:space="preserve"> </w:t>
      </w:r>
      <w:r w:rsidRPr="003D7C2E">
        <w:rPr>
          <w:szCs w:val="20"/>
          <w:highlight w:val="cyan"/>
        </w:rPr>
        <w:t>Ley 80 de 1993</w:t>
      </w:r>
      <w:r w:rsidR="00C94332" w:rsidRPr="003D7C2E">
        <w:rPr>
          <w:szCs w:val="20"/>
          <w:highlight w:val="cyan"/>
        </w:rPr>
        <w:t xml:space="preserve"> y la Ley 1150 de 2007.</w:t>
      </w:r>
    </w:p>
    <w:p w:rsidR="00B124B2" w:rsidRPr="003D7C2E" w:rsidRDefault="00B124B2" w:rsidP="00A42530">
      <w:pPr>
        <w:pStyle w:val="Default"/>
        <w:numPr>
          <w:ilvl w:val="1"/>
          <w:numId w:val="15"/>
        </w:numPr>
        <w:spacing w:after="100" w:afterAutospacing="1"/>
        <w:ind w:left="1418"/>
        <w:jc w:val="both"/>
        <w:rPr>
          <w:szCs w:val="20"/>
          <w:highlight w:val="cyan"/>
        </w:rPr>
      </w:pPr>
      <w:r w:rsidRPr="003D7C2E">
        <w:rPr>
          <w:szCs w:val="20"/>
          <w:highlight w:val="cyan"/>
        </w:rPr>
        <w:t xml:space="preserve">Selección Abreviada </w:t>
      </w:r>
    </w:p>
    <w:p w:rsidR="00A42530" w:rsidRPr="003D7C2E" w:rsidRDefault="00A42530" w:rsidP="00A42530">
      <w:pPr>
        <w:pStyle w:val="Default"/>
        <w:numPr>
          <w:ilvl w:val="1"/>
          <w:numId w:val="15"/>
        </w:numPr>
        <w:spacing w:after="100" w:afterAutospacing="1"/>
        <w:ind w:left="1418"/>
        <w:jc w:val="both"/>
        <w:rPr>
          <w:szCs w:val="20"/>
          <w:highlight w:val="cyan"/>
        </w:rPr>
      </w:pPr>
      <w:r w:rsidRPr="003D7C2E">
        <w:rPr>
          <w:b/>
          <w:szCs w:val="20"/>
          <w:highlight w:val="cyan"/>
        </w:rPr>
        <w:t xml:space="preserve">Mínima Cuantía: </w:t>
      </w:r>
      <w:r w:rsidR="00D351BC" w:rsidRPr="003D7C2E">
        <w:rPr>
          <w:szCs w:val="20"/>
          <w:highlight w:val="cyan"/>
        </w:rPr>
        <w:t>Artículo 2° inciso 5 Ley 1150 de 2007</w:t>
      </w:r>
    </w:p>
    <w:p w:rsidR="00A42530" w:rsidRPr="003D7C2E" w:rsidRDefault="00A42530" w:rsidP="00A42530">
      <w:pPr>
        <w:pStyle w:val="Default"/>
        <w:numPr>
          <w:ilvl w:val="1"/>
          <w:numId w:val="15"/>
        </w:numPr>
        <w:spacing w:after="100" w:afterAutospacing="1"/>
        <w:ind w:left="1418"/>
        <w:jc w:val="both"/>
        <w:rPr>
          <w:szCs w:val="20"/>
          <w:highlight w:val="cyan"/>
        </w:rPr>
      </w:pPr>
      <w:r w:rsidRPr="003D7C2E">
        <w:rPr>
          <w:b/>
          <w:szCs w:val="20"/>
          <w:highlight w:val="cyan"/>
        </w:rPr>
        <w:t xml:space="preserve">Contratación Directa: </w:t>
      </w:r>
      <w:r w:rsidRPr="003D7C2E">
        <w:rPr>
          <w:szCs w:val="20"/>
          <w:highlight w:val="cyan"/>
        </w:rPr>
        <w:t xml:space="preserve">Artículo 2° inciso 4 </w:t>
      </w:r>
      <w:r w:rsidR="00CD2111" w:rsidRPr="003D7C2E">
        <w:rPr>
          <w:szCs w:val="20"/>
          <w:highlight w:val="cyan"/>
        </w:rPr>
        <w:t>Le</w:t>
      </w:r>
      <w:r w:rsidRPr="003D7C2E">
        <w:rPr>
          <w:szCs w:val="20"/>
          <w:highlight w:val="cyan"/>
        </w:rPr>
        <w:t>y 1150 de 2007</w:t>
      </w:r>
    </w:p>
    <w:p w:rsidR="00A42530" w:rsidRPr="003D7C2E" w:rsidRDefault="00A42530" w:rsidP="00A42530">
      <w:pPr>
        <w:pStyle w:val="Default"/>
        <w:numPr>
          <w:ilvl w:val="1"/>
          <w:numId w:val="15"/>
        </w:numPr>
        <w:spacing w:after="100" w:afterAutospacing="1"/>
        <w:ind w:left="1418"/>
        <w:jc w:val="both"/>
        <w:rPr>
          <w:szCs w:val="20"/>
          <w:highlight w:val="cyan"/>
        </w:rPr>
      </w:pPr>
      <w:r w:rsidRPr="003D7C2E">
        <w:rPr>
          <w:b/>
          <w:szCs w:val="20"/>
          <w:highlight w:val="cyan"/>
        </w:rPr>
        <w:t xml:space="preserve">Concurso de Méritos: </w:t>
      </w:r>
      <w:r w:rsidR="00CD2111" w:rsidRPr="003D7C2E">
        <w:rPr>
          <w:szCs w:val="20"/>
          <w:highlight w:val="cyan"/>
        </w:rPr>
        <w:t>L</w:t>
      </w:r>
      <w:r w:rsidRPr="003D7C2E">
        <w:rPr>
          <w:szCs w:val="20"/>
          <w:highlight w:val="cyan"/>
        </w:rPr>
        <w:t>ey 1150 de 2007</w:t>
      </w:r>
    </w:p>
    <w:p w:rsidR="00A42530" w:rsidRPr="003D7C2E" w:rsidRDefault="00A42530" w:rsidP="00A42530">
      <w:pPr>
        <w:pStyle w:val="Default"/>
        <w:numPr>
          <w:ilvl w:val="1"/>
          <w:numId w:val="15"/>
        </w:numPr>
        <w:spacing w:after="100" w:afterAutospacing="1"/>
        <w:ind w:left="1418"/>
        <w:jc w:val="both"/>
        <w:rPr>
          <w:szCs w:val="20"/>
          <w:highlight w:val="cyan"/>
        </w:rPr>
      </w:pPr>
      <w:r w:rsidRPr="003D7C2E">
        <w:rPr>
          <w:b/>
          <w:szCs w:val="20"/>
          <w:highlight w:val="cyan"/>
        </w:rPr>
        <w:t xml:space="preserve">Selección abreviada: </w:t>
      </w:r>
      <w:r w:rsidR="00CD2111" w:rsidRPr="003D7C2E">
        <w:rPr>
          <w:szCs w:val="20"/>
          <w:highlight w:val="cyan"/>
        </w:rPr>
        <w:t>ley 1150 de 2007</w:t>
      </w:r>
    </w:p>
    <w:p w:rsidR="00A735DD" w:rsidRDefault="00A735DD" w:rsidP="007E3F56">
      <w:pPr>
        <w:pStyle w:val="Default"/>
        <w:numPr>
          <w:ilvl w:val="0"/>
          <w:numId w:val="3"/>
        </w:numPr>
        <w:spacing w:after="100" w:afterAutospacing="1"/>
        <w:ind w:hanging="578"/>
        <w:jc w:val="both"/>
        <w:rPr>
          <w:b/>
          <w:bCs/>
          <w:sz w:val="32"/>
          <w:szCs w:val="22"/>
        </w:rPr>
      </w:pPr>
      <w:r>
        <w:rPr>
          <w:b/>
          <w:bCs/>
          <w:sz w:val="32"/>
          <w:szCs w:val="22"/>
        </w:rPr>
        <w:t>INCONGLUENCIA DE LINDEROS Y CABIDA</w:t>
      </w:r>
      <w:r w:rsidR="00327869">
        <w:rPr>
          <w:b/>
          <w:bCs/>
          <w:sz w:val="32"/>
          <w:szCs w:val="22"/>
        </w:rPr>
        <w:t>:</w:t>
      </w:r>
    </w:p>
    <w:p w:rsidR="00575C75" w:rsidRPr="00EA48E3" w:rsidRDefault="00575C75" w:rsidP="00575C75">
      <w:pPr>
        <w:pStyle w:val="Default"/>
        <w:numPr>
          <w:ilvl w:val="0"/>
          <w:numId w:val="18"/>
        </w:numPr>
        <w:spacing w:after="100" w:afterAutospacing="1"/>
        <w:jc w:val="both"/>
        <w:rPr>
          <w:bCs/>
          <w:szCs w:val="22"/>
        </w:rPr>
      </w:pPr>
      <w:r w:rsidRPr="00EA48E3">
        <w:rPr>
          <w:bCs/>
          <w:szCs w:val="22"/>
        </w:rPr>
        <w:t xml:space="preserve">Un Folio de </w:t>
      </w:r>
      <w:r w:rsidR="00EA48E3" w:rsidRPr="00EA48E3">
        <w:rPr>
          <w:bCs/>
          <w:szCs w:val="22"/>
        </w:rPr>
        <w:t>matrícula</w:t>
      </w:r>
      <w:r w:rsidRPr="00EA48E3">
        <w:rPr>
          <w:bCs/>
          <w:szCs w:val="22"/>
        </w:rPr>
        <w:t xml:space="preserve"> inmobiliaria debe indicar una única unidad Catastral de acuerdo al </w:t>
      </w:r>
      <w:r w:rsidR="00EA48E3" w:rsidRPr="00EA48E3">
        <w:rPr>
          <w:bCs/>
          <w:szCs w:val="22"/>
        </w:rPr>
        <w:t>Artículo</w:t>
      </w:r>
      <w:r w:rsidRPr="00EA48E3">
        <w:rPr>
          <w:bCs/>
          <w:szCs w:val="22"/>
        </w:rPr>
        <w:t xml:space="preserve"> 8 de la Ley 1579 de 2012 (</w:t>
      </w:r>
      <w:r w:rsidR="00EA48E3" w:rsidRPr="00EA48E3">
        <w:rPr>
          <w:bCs/>
          <w:szCs w:val="22"/>
        </w:rPr>
        <w:t>Estatuto Registral vigente).</w:t>
      </w:r>
    </w:p>
    <w:p w:rsidR="00A735DD" w:rsidRPr="00747DAD" w:rsidRDefault="00575C75" w:rsidP="00575C75">
      <w:pPr>
        <w:pStyle w:val="Default"/>
        <w:numPr>
          <w:ilvl w:val="0"/>
          <w:numId w:val="18"/>
        </w:numPr>
        <w:spacing w:after="100" w:afterAutospacing="1"/>
        <w:jc w:val="both"/>
        <w:rPr>
          <w:b/>
          <w:bCs/>
          <w:szCs w:val="22"/>
        </w:rPr>
      </w:pPr>
      <w:r w:rsidRPr="00575C75">
        <w:rPr>
          <w:bCs/>
          <w:szCs w:val="22"/>
        </w:rPr>
        <w:t>En el caso de que hubiere incongruencia de linderos y Cabida detectado en la documentación suministrada, se debe acudir ante un Juez para adelantar un “PROCESO DE DESLINDE Y AMOJONAMIENTO” (Artículo 400 y s</w:t>
      </w:r>
      <w:r>
        <w:rPr>
          <w:bCs/>
          <w:szCs w:val="22"/>
        </w:rPr>
        <w:t>iguientes</w:t>
      </w:r>
      <w:r w:rsidRPr="00575C75">
        <w:rPr>
          <w:bCs/>
          <w:szCs w:val="22"/>
        </w:rPr>
        <w:t xml:space="preserve"> de </w:t>
      </w:r>
      <w:r>
        <w:rPr>
          <w:bCs/>
          <w:szCs w:val="22"/>
        </w:rPr>
        <w:t xml:space="preserve">la </w:t>
      </w:r>
      <w:r w:rsidRPr="00575C75">
        <w:rPr>
          <w:bCs/>
          <w:szCs w:val="22"/>
        </w:rPr>
        <w:t>Ley 1564 de 2014) el que establecerá</w:t>
      </w:r>
      <w:r>
        <w:rPr>
          <w:bCs/>
          <w:szCs w:val="22"/>
        </w:rPr>
        <w:t xml:space="preserve"> cuá</w:t>
      </w:r>
      <w:r w:rsidRPr="00575C75">
        <w:rPr>
          <w:bCs/>
          <w:szCs w:val="22"/>
        </w:rPr>
        <w:t>les son los linderos y el área del Predio.</w:t>
      </w:r>
    </w:p>
    <w:p w:rsidR="00747DAD" w:rsidRPr="00F96E08" w:rsidRDefault="00747DAD" w:rsidP="00575C75">
      <w:pPr>
        <w:pStyle w:val="Default"/>
        <w:numPr>
          <w:ilvl w:val="0"/>
          <w:numId w:val="18"/>
        </w:numPr>
        <w:spacing w:after="100" w:afterAutospacing="1"/>
        <w:jc w:val="both"/>
        <w:rPr>
          <w:b/>
          <w:bCs/>
          <w:szCs w:val="22"/>
        </w:rPr>
      </w:pPr>
      <w:r>
        <w:rPr>
          <w:bCs/>
          <w:szCs w:val="22"/>
        </w:rPr>
        <w:t>A criterio del valuador se hará o no el avalúo, de hacerlo, éste se debe ceñirse únicamente a lo que indica como área y linderos en el folio de matrícula Inmobiliaria suministrada y vigente. El certificado de libertad y traición debe ser de fecha no mayor a tres días a la fecha de recepción de documentación. (Nota del Avaluador)</w:t>
      </w:r>
    </w:p>
    <w:p w:rsidR="00F96E08" w:rsidRDefault="00F96E08" w:rsidP="00F96E08">
      <w:pPr>
        <w:pStyle w:val="Default"/>
        <w:numPr>
          <w:ilvl w:val="0"/>
          <w:numId w:val="3"/>
        </w:numPr>
        <w:spacing w:after="100" w:afterAutospacing="1"/>
        <w:ind w:hanging="578"/>
        <w:jc w:val="both"/>
        <w:rPr>
          <w:b/>
          <w:bCs/>
          <w:sz w:val="32"/>
          <w:szCs w:val="22"/>
        </w:rPr>
      </w:pPr>
      <w:r>
        <w:rPr>
          <w:b/>
          <w:bCs/>
          <w:sz w:val="32"/>
          <w:szCs w:val="22"/>
        </w:rPr>
        <w:lastRenderedPageBreak/>
        <w:t>PROCESOS JUDICIALES</w:t>
      </w:r>
    </w:p>
    <w:p w:rsidR="00F96E08" w:rsidRPr="00F96E08" w:rsidRDefault="00F96E08" w:rsidP="00F96E08">
      <w:pPr>
        <w:pStyle w:val="Default"/>
        <w:spacing w:after="100" w:afterAutospacing="1"/>
        <w:ind w:left="720"/>
        <w:jc w:val="both"/>
        <w:rPr>
          <w:bCs/>
          <w:szCs w:val="22"/>
        </w:rPr>
      </w:pPr>
      <w:r w:rsidRPr="00F96E08">
        <w:rPr>
          <w:bCs/>
          <w:szCs w:val="22"/>
        </w:rPr>
        <w:t>En aplicación de los procedimientos expuestos en la ley 1564 de 2014, Código General de Proceso, se hacen las siguientes observaciones</w:t>
      </w:r>
      <w:r w:rsidR="00A25CA6">
        <w:rPr>
          <w:bCs/>
          <w:szCs w:val="22"/>
        </w:rPr>
        <w:t xml:space="preserve"> a tener en</w:t>
      </w:r>
      <w:r w:rsidR="003E70DA">
        <w:rPr>
          <w:bCs/>
          <w:szCs w:val="22"/>
        </w:rPr>
        <w:t xml:space="preserve"> </w:t>
      </w:r>
      <w:r w:rsidR="00A25CA6">
        <w:rPr>
          <w:bCs/>
          <w:szCs w:val="22"/>
        </w:rPr>
        <w:t>cuenta</w:t>
      </w:r>
      <w:r w:rsidRPr="00F96E08">
        <w:rPr>
          <w:bCs/>
          <w:szCs w:val="22"/>
        </w:rPr>
        <w:t>:</w:t>
      </w:r>
    </w:p>
    <w:p w:rsidR="00F96E08" w:rsidRPr="00F96E08" w:rsidRDefault="00F96E08" w:rsidP="00F96E08">
      <w:pPr>
        <w:pStyle w:val="Default"/>
        <w:numPr>
          <w:ilvl w:val="0"/>
          <w:numId w:val="20"/>
        </w:numPr>
        <w:spacing w:after="100" w:afterAutospacing="1"/>
        <w:ind w:left="1134"/>
        <w:jc w:val="both"/>
        <w:rPr>
          <w:bCs/>
          <w:szCs w:val="22"/>
        </w:rPr>
      </w:pPr>
      <w:r w:rsidRPr="00F96E08">
        <w:rPr>
          <w:b/>
          <w:bCs/>
          <w:szCs w:val="22"/>
        </w:rPr>
        <w:t xml:space="preserve">Acudir a la Audiencia. </w:t>
      </w:r>
      <w:r w:rsidRPr="00F96E08">
        <w:rPr>
          <w:bCs/>
          <w:szCs w:val="22"/>
        </w:rPr>
        <w:t xml:space="preserve">Artículo 48°, Ley 1564 de 2014. </w:t>
      </w:r>
    </w:p>
    <w:p w:rsidR="00F96E08" w:rsidRDefault="00F96E08" w:rsidP="00F96E08">
      <w:pPr>
        <w:pStyle w:val="Default"/>
        <w:numPr>
          <w:ilvl w:val="0"/>
          <w:numId w:val="20"/>
        </w:numPr>
        <w:spacing w:after="100" w:afterAutospacing="1"/>
        <w:ind w:left="1134"/>
        <w:jc w:val="both"/>
        <w:rPr>
          <w:bCs/>
          <w:szCs w:val="22"/>
        </w:rPr>
      </w:pPr>
      <w:r>
        <w:rPr>
          <w:b/>
          <w:bCs/>
          <w:szCs w:val="22"/>
        </w:rPr>
        <w:t xml:space="preserve">Prueba Pericial. </w:t>
      </w:r>
      <w:r w:rsidR="0059437B" w:rsidRPr="00F96E08">
        <w:rPr>
          <w:bCs/>
          <w:szCs w:val="22"/>
        </w:rPr>
        <w:t>Artículo</w:t>
      </w:r>
      <w:r w:rsidRPr="00F96E08">
        <w:rPr>
          <w:bCs/>
          <w:szCs w:val="22"/>
        </w:rPr>
        <w:t xml:space="preserve"> 226</w:t>
      </w:r>
      <w:r w:rsidR="00AC634C">
        <w:rPr>
          <w:bCs/>
          <w:szCs w:val="22"/>
        </w:rPr>
        <w:t>°</w:t>
      </w:r>
      <w:r w:rsidRPr="00F96E08">
        <w:rPr>
          <w:bCs/>
          <w:szCs w:val="22"/>
        </w:rPr>
        <w:t xml:space="preserve"> de la Ley 1564 de 2014</w:t>
      </w:r>
    </w:p>
    <w:p w:rsidR="00A25CA6" w:rsidRDefault="003E70DA" w:rsidP="00A25CA6">
      <w:pPr>
        <w:pStyle w:val="Default"/>
        <w:numPr>
          <w:ilvl w:val="0"/>
          <w:numId w:val="20"/>
        </w:numPr>
        <w:spacing w:after="100" w:afterAutospacing="1"/>
        <w:ind w:left="1134"/>
        <w:jc w:val="both"/>
        <w:rPr>
          <w:bCs/>
          <w:szCs w:val="22"/>
        </w:rPr>
      </w:pPr>
      <w:r>
        <w:rPr>
          <w:b/>
          <w:bCs/>
          <w:szCs w:val="22"/>
        </w:rPr>
        <w:t>Contradicción</w:t>
      </w:r>
      <w:r w:rsidR="00A25CA6">
        <w:rPr>
          <w:b/>
          <w:bCs/>
          <w:szCs w:val="22"/>
        </w:rPr>
        <w:t xml:space="preserve"> del Dictamen:</w:t>
      </w:r>
      <w:r w:rsidR="00A25CA6">
        <w:rPr>
          <w:bCs/>
          <w:szCs w:val="22"/>
        </w:rPr>
        <w:t xml:space="preserve"> </w:t>
      </w:r>
      <w:r w:rsidR="00A25CA6" w:rsidRPr="00F96E08">
        <w:rPr>
          <w:bCs/>
          <w:szCs w:val="22"/>
        </w:rPr>
        <w:t xml:space="preserve">Artículo </w:t>
      </w:r>
      <w:r w:rsidR="00A25CA6">
        <w:rPr>
          <w:bCs/>
          <w:szCs w:val="22"/>
        </w:rPr>
        <w:t>228</w:t>
      </w:r>
      <w:r w:rsidR="00AC634C">
        <w:rPr>
          <w:bCs/>
          <w:szCs w:val="22"/>
        </w:rPr>
        <w:t>°</w:t>
      </w:r>
      <w:r w:rsidR="00A25CA6" w:rsidRPr="00F96E08">
        <w:rPr>
          <w:bCs/>
          <w:szCs w:val="22"/>
        </w:rPr>
        <w:t xml:space="preserve"> de la Ley 1564 de 2014</w:t>
      </w:r>
    </w:p>
    <w:p w:rsidR="003E70DA" w:rsidRDefault="003E70DA" w:rsidP="003E70DA">
      <w:pPr>
        <w:pStyle w:val="Default"/>
        <w:numPr>
          <w:ilvl w:val="0"/>
          <w:numId w:val="20"/>
        </w:numPr>
        <w:spacing w:after="100" w:afterAutospacing="1"/>
        <w:ind w:left="1134"/>
        <w:jc w:val="both"/>
        <w:rPr>
          <w:bCs/>
          <w:szCs w:val="22"/>
        </w:rPr>
      </w:pPr>
      <w:r>
        <w:rPr>
          <w:b/>
          <w:bCs/>
          <w:szCs w:val="22"/>
        </w:rPr>
        <w:t>Dictamen decretado de Oficio:</w:t>
      </w:r>
      <w:r>
        <w:rPr>
          <w:bCs/>
          <w:szCs w:val="22"/>
        </w:rPr>
        <w:t xml:space="preserve"> </w:t>
      </w:r>
      <w:r w:rsidRPr="00F96E08">
        <w:rPr>
          <w:bCs/>
          <w:szCs w:val="22"/>
        </w:rPr>
        <w:t xml:space="preserve">Artículo </w:t>
      </w:r>
      <w:r>
        <w:rPr>
          <w:bCs/>
          <w:szCs w:val="22"/>
        </w:rPr>
        <w:t>230</w:t>
      </w:r>
      <w:r w:rsidR="00AC634C">
        <w:rPr>
          <w:bCs/>
          <w:szCs w:val="22"/>
        </w:rPr>
        <w:t>°</w:t>
      </w:r>
      <w:r w:rsidRPr="00F96E08">
        <w:rPr>
          <w:bCs/>
          <w:szCs w:val="22"/>
        </w:rPr>
        <w:t xml:space="preserve"> de la Ley 1564 de 2014</w:t>
      </w:r>
    </w:p>
    <w:p w:rsidR="00F96E08" w:rsidRPr="00AC634C" w:rsidRDefault="00F96E08" w:rsidP="00F96E08">
      <w:pPr>
        <w:pStyle w:val="Default"/>
        <w:numPr>
          <w:ilvl w:val="0"/>
          <w:numId w:val="20"/>
        </w:numPr>
        <w:spacing w:after="100" w:afterAutospacing="1"/>
        <w:ind w:left="1134"/>
        <w:jc w:val="both"/>
        <w:rPr>
          <w:b/>
          <w:bCs/>
          <w:szCs w:val="22"/>
        </w:rPr>
      </w:pPr>
      <w:r w:rsidRPr="00F96E08">
        <w:rPr>
          <w:b/>
          <w:bCs/>
          <w:szCs w:val="22"/>
        </w:rPr>
        <w:t xml:space="preserve">Colaboración de las partes. </w:t>
      </w:r>
      <w:r w:rsidR="0059437B" w:rsidRPr="0059437B">
        <w:rPr>
          <w:bCs/>
          <w:szCs w:val="22"/>
        </w:rPr>
        <w:t>Artículo</w:t>
      </w:r>
      <w:r w:rsidR="00AC634C">
        <w:rPr>
          <w:bCs/>
          <w:szCs w:val="22"/>
        </w:rPr>
        <w:t xml:space="preserve"> 233</w:t>
      </w:r>
      <w:r w:rsidRPr="0059437B">
        <w:rPr>
          <w:bCs/>
          <w:szCs w:val="22"/>
        </w:rPr>
        <w:t xml:space="preserve">°, Ley 1564 de 2014, </w:t>
      </w:r>
    </w:p>
    <w:p w:rsidR="00AC634C" w:rsidRDefault="00AC634C" w:rsidP="00AC634C">
      <w:pPr>
        <w:pStyle w:val="Default"/>
        <w:numPr>
          <w:ilvl w:val="0"/>
          <w:numId w:val="20"/>
        </w:numPr>
        <w:spacing w:after="100" w:afterAutospacing="1"/>
        <w:ind w:left="1134"/>
        <w:jc w:val="both"/>
        <w:rPr>
          <w:bCs/>
          <w:szCs w:val="22"/>
        </w:rPr>
      </w:pPr>
      <w:r>
        <w:rPr>
          <w:b/>
          <w:bCs/>
          <w:szCs w:val="22"/>
        </w:rPr>
        <w:t xml:space="preserve">Imparcialidad del perito: </w:t>
      </w:r>
      <w:r w:rsidRPr="00F96E08">
        <w:rPr>
          <w:bCs/>
          <w:szCs w:val="22"/>
        </w:rPr>
        <w:t xml:space="preserve">Artículo </w:t>
      </w:r>
      <w:r>
        <w:rPr>
          <w:bCs/>
          <w:szCs w:val="22"/>
        </w:rPr>
        <w:t>235°</w:t>
      </w:r>
      <w:r w:rsidRPr="00F96E08">
        <w:rPr>
          <w:bCs/>
          <w:szCs w:val="22"/>
        </w:rPr>
        <w:t xml:space="preserve"> de la Ley 1564 de 2014</w:t>
      </w:r>
    </w:p>
    <w:p w:rsidR="00AC634C" w:rsidRDefault="00AC634C" w:rsidP="00AC634C">
      <w:pPr>
        <w:pStyle w:val="Default"/>
        <w:numPr>
          <w:ilvl w:val="0"/>
          <w:numId w:val="20"/>
        </w:numPr>
        <w:spacing w:after="100" w:afterAutospacing="1"/>
        <w:ind w:left="1134"/>
        <w:jc w:val="both"/>
        <w:rPr>
          <w:bCs/>
          <w:szCs w:val="22"/>
        </w:rPr>
      </w:pPr>
      <w:r>
        <w:rPr>
          <w:b/>
          <w:bCs/>
          <w:szCs w:val="22"/>
        </w:rPr>
        <w:t xml:space="preserve">Pago de expensas y honorarios. </w:t>
      </w:r>
      <w:r w:rsidRPr="00F96E08">
        <w:rPr>
          <w:bCs/>
          <w:szCs w:val="22"/>
        </w:rPr>
        <w:t xml:space="preserve">Artículo </w:t>
      </w:r>
      <w:r>
        <w:rPr>
          <w:bCs/>
          <w:szCs w:val="22"/>
        </w:rPr>
        <w:t>364°</w:t>
      </w:r>
      <w:r w:rsidRPr="00F96E08">
        <w:rPr>
          <w:bCs/>
          <w:szCs w:val="22"/>
        </w:rPr>
        <w:t xml:space="preserve"> de la Ley 1564 de 2014</w:t>
      </w:r>
    </w:p>
    <w:p w:rsidR="00AC634C" w:rsidRDefault="00AC634C" w:rsidP="00AC634C">
      <w:pPr>
        <w:pStyle w:val="Default"/>
        <w:numPr>
          <w:ilvl w:val="0"/>
          <w:numId w:val="20"/>
        </w:numPr>
        <w:spacing w:after="100" w:afterAutospacing="1"/>
        <w:ind w:left="1134"/>
        <w:jc w:val="both"/>
        <w:rPr>
          <w:bCs/>
          <w:szCs w:val="22"/>
        </w:rPr>
      </w:pPr>
      <w:r>
        <w:rPr>
          <w:b/>
          <w:bCs/>
          <w:szCs w:val="22"/>
        </w:rPr>
        <w:t xml:space="preserve">Audiencia de instrucción y juzgamiento (interrogatorio al perito): </w:t>
      </w:r>
      <w:r w:rsidRPr="00F96E08">
        <w:rPr>
          <w:bCs/>
          <w:szCs w:val="22"/>
        </w:rPr>
        <w:t xml:space="preserve">Artículo </w:t>
      </w:r>
      <w:r>
        <w:rPr>
          <w:bCs/>
          <w:szCs w:val="22"/>
        </w:rPr>
        <w:t>373°</w:t>
      </w:r>
      <w:r w:rsidRPr="00F96E08">
        <w:rPr>
          <w:bCs/>
          <w:szCs w:val="22"/>
        </w:rPr>
        <w:t xml:space="preserve"> de la Ley 1564 de 2014</w:t>
      </w:r>
    </w:p>
    <w:p w:rsidR="00A93E64" w:rsidRDefault="00A93E64" w:rsidP="00A93E64">
      <w:pPr>
        <w:pStyle w:val="Default"/>
        <w:numPr>
          <w:ilvl w:val="0"/>
          <w:numId w:val="20"/>
        </w:numPr>
        <w:spacing w:after="100" w:afterAutospacing="1"/>
        <w:ind w:left="1134"/>
        <w:jc w:val="both"/>
        <w:rPr>
          <w:bCs/>
          <w:szCs w:val="22"/>
        </w:rPr>
      </w:pPr>
      <w:r>
        <w:rPr>
          <w:b/>
          <w:bCs/>
          <w:szCs w:val="22"/>
        </w:rPr>
        <w:t>Avalúos.</w:t>
      </w:r>
      <w:r>
        <w:rPr>
          <w:bCs/>
          <w:szCs w:val="22"/>
        </w:rPr>
        <w:t xml:space="preserve"> Artículo 444° </w:t>
      </w:r>
      <w:r w:rsidRPr="00F96E08">
        <w:rPr>
          <w:bCs/>
          <w:szCs w:val="22"/>
        </w:rPr>
        <w:t>de la Ley 1564 de 2014</w:t>
      </w:r>
    </w:p>
    <w:p w:rsidR="00A93E64" w:rsidRDefault="00A93E64" w:rsidP="00A93E64">
      <w:pPr>
        <w:pStyle w:val="Default"/>
        <w:numPr>
          <w:ilvl w:val="0"/>
          <w:numId w:val="20"/>
        </w:numPr>
        <w:spacing w:after="100" w:afterAutospacing="1"/>
        <w:ind w:left="1134"/>
        <w:jc w:val="both"/>
        <w:rPr>
          <w:bCs/>
          <w:szCs w:val="22"/>
        </w:rPr>
      </w:pPr>
      <w:r>
        <w:rPr>
          <w:b/>
          <w:bCs/>
          <w:szCs w:val="22"/>
        </w:rPr>
        <w:t>Beneficio de Competencia.</w:t>
      </w:r>
      <w:r>
        <w:rPr>
          <w:bCs/>
          <w:szCs w:val="22"/>
        </w:rPr>
        <w:t xml:space="preserve"> Artículo 445° </w:t>
      </w:r>
      <w:r w:rsidRPr="00F96E08">
        <w:rPr>
          <w:bCs/>
          <w:szCs w:val="22"/>
        </w:rPr>
        <w:t>de la Ley 1564 de 2014</w:t>
      </w:r>
    </w:p>
    <w:p w:rsidR="00E840ED" w:rsidRDefault="00E840ED" w:rsidP="00E840ED">
      <w:pPr>
        <w:pStyle w:val="Default"/>
        <w:spacing w:after="100" w:afterAutospacing="1"/>
        <w:ind w:left="1134"/>
        <w:jc w:val="center"/>
        <w:rPr>
          <w:b/>
          <w:bCs/>
          <w:szCs w:val="22"/>
        </w:rPr>
      </w:pPr>
      <w:r>
        <w:rPr>
          <w:b/>
          <w:bCs/>
          <w:szCs w:val="22"/>
        </w:rPr>
        <w:t>HONORARIOS ADICIONALES</w:t>
      </w:r>
    </w:p>
    <w:p w:rsidR="00E840ED" w:rsidRDefault="00E840ED" w:rsidP="00E840ED">
      <w:pPr>
        <w:pStyle w:val="Default"/>
        <w:spacing w:after="100" w:afterAutospacing="1"/>
        <w:ind w:left="720"/>
        <w:jc w:val="both"/>
        <w:rPr>
          <w:bCs/>
          <w:szCs w:val="22"/>
        </w:rPr>
      </w:pPr>
      <w:r>
        <w:rPr>
          <w:bCs/>
          <w:szCs w:val="22"/>
        </w:rPr>
        <w:t xml:space="preserve">De todas maneras tanto el perito como las partes se pondrán en mutuo acuerdo por el pago de Honorarios además de los </w:t>
      </w:r>
      <w:r w:rsidR="00DC1D0F">
        <w:rPr>
          <w:bCs/>
          <w:szCs w:val="22"/>
        </w:rPr>
        <w:t>cotizados en este documento a raíz de Servicios Prestados por Avalúos según Categoría a Aplicar</w:t>
      </w:r>
      <w:r>
        <w:rPr>
          <w:bCs/>
          <w:szCs w:val="22"/>
        </w:rPr>
        <w:t xml:space="preserve">. </w:t>
      </w:r>
    </w:p>
    <w:p w:rsidR="00E840ED" w:rsidRDefault="00E840ED" w:rsidP="00E840ED">
      <w:pPr>
        <w:pStyle w:val="Default"/>
        <w:spacing w:after="100" w:afterAutospacing="1"/>
        <w:ind w:left="720"/>
        <w:jc w:val="both"/>
        <w:rPr>
          <w:bCs/>
          <w:szCs w:val="22"/>
        </w:rPr>
      </w:pPr>
      <w:r>
        <w:rPr>
          <w:bCs/>
          <w:szCs w:val="22"/>
        </w:rPr>
        <w:t>Los honorarios se cobraran por hora desde el momento de la citación a la audiencia hasta la terminación de la intervención del perito o terminación de la misma aun el perito no haya intervenido en el proceso.</w:t>
      </w:r>
      <w:r w:rsidR="00DC1D0F">
        <w:rPr>
          <w:bCs/>
          <w:szCs w:val="22"/>
        </w:rPr>
        <w:t xml:space="preserve"> El Monto total no podrá superar el valor de </w:t>
      </w:r>
      <w:r w:rsidR="00DC1D0F" w:rsidRPr="00580AE2">
        <w:rPr>
          <w:bCs/>
          <w:szCs w:val="22"/>
          <w:highlight w:val="yellow"/>
        </w:rPr>
        <w:t>Un (1) Salario Mínimo Legar Vigente Mensual</w:t>
      </w:r>
      <w:r w:rsidR="00A81843" w:rsidRPr="00580AE2">
        <w:rPr>
          <w:bCs/>
          <w:szCs w:val="22"/>
          <w:highlight w:val="yellow"/>
        </w:rPr>
        <w:t xml:space="preserve"> (SMLVM)</w:t>
      </w:r>
      <w:r w:rsidR="00DC1D0F">
        <w:rPr>
          <w:bCs/>
          <w:szCs w:val="22"/>
        </w:rPr>
        <w:t>, por día</w:t>
      </w:r>
      <w:r w:rsidR="003F36EA">
        <w:rPr>
          <w:bCs/>
          <w:szCs w:val="22"/>
        </w:rPr>
        <w:t xml:space="preserve"> citado, (antes de iva, si aplica) y facturados al día siguiente a la Audiencia.</w:t>
      </w:r>
      <w:r w:rsidR="00445AD6">
        <w:rPr>
          <w:bCs/>
          <w:szCs w:val="22"/>
        </w:rPr>
        <w:t xml:space="preserve"> (</w:t>
      </w:r>
      <w:r w:rsidR="009B0F35">
        <w:rPr>
          <w:bCs/>
          <w:szCs w:val="22"/>
        </w:rPr>
        <w:t>Tarifa</w:t>
      </w:r>
      <w:r w:rsidR="00445AD6">
        <w:rPr>
          <w:bCs/>
          <w:szCs w:val="22"/>
        </w:rPr>
        <w:t xml:space="preserve"> establecida por el Valuador)</w:t>
      </w:r>
    </w:p>
    <w:p w:rsidR="00E840ED" w:rsidRPr="00F96E08" w:rsidRDefault="00E840ED" w:rsidP="00E840ED">
      <w:pPr>
        <w:pStyle w:val="Default"/>
        <w:spacing w:after="100" w:afterAutospacing="1"/>
        <w:ind w:left="720"/>
        <w:jc w:val="both"/>
        <w:rPr>
          <w:bCs/>
          <w:szCs w:val="22"/>
        </w:rPr>
      </w:pPr>
      <w:r>
        <w:rPr>
          <w:bCs/>
          <w:szCs w:val="22"/>
        </w:rPr>
        <w:t>Estos honorarios</w:t>
      </w:r>
      <w:r w:rsidR="00A81843">
        <w:rPr>
          <w:bCs/>
          <w:szCs w:val="22"/>
        </w:rPr>
        <w:t xml:space="preserve"> Valor por </w:t>
      </w:r>
      <w:r w:rsidR="00580AE2">
        <w:rPr>
          <w:bCs/>
          <w:szCs w:val="22"/>
        </w:rPr>
        <w:t xml:space="preserve">cada </w:t>
      </w:r>
      <w:r w:rsidR="00A81843">
        <w:rPr>
          <w:bCs/>
          <w:szCs w:val="22"/>
        </w:rPr>
        <w:t xml:space="preserve">hora es el resultado de aplicar el </w:t>
      </w:r>
      <w:r w:rsidR="00A81843" w:rsidRPr="00A81843">
        <w:rPr>
          <w:bCs/>
          <w:szCs w:val="22"/>
          <w:highlight w:val="yellow"/>
        </w:rPr>
        <w:t xml:space="preserve"> 20%</w:t>
      </w:r>
      <w:r w:rsidR="00A81843">
        <w:rPr>
          <w:bCs/>
          <w:szCs w:val="22"/>
        </w:rPr>
        <w:t xml:space="preserve"> a UN (1) SMLVM.</w:t>
      </w:r>
    </w:p>
    <w:p w:rsidR="00CF5840" w:rsidRPr="00AF43D6" w:rsidRDefault="00176CA3" w:rsidP="007E3F56">
      <w:pPr>
        <w:pStyle w:val="Default"/>
        <w:numPr>
          <w:ilvl w:val="0"/>
          <w:numId w:val="3"/>
        </w:numPr>
        <w:spacing w:after="100" w:afterAutospacing="1"/>
        <w:ind w:hanging="578"/>
        <w:jc w:val="both"/>
        <w:rPr>
          <w:b/>
          <w:bCs/>
          <w:szCs w:val="22"/>
          <w:highlight w:val="cyan"/>
        </w:rPr>
      </w:pPr>
      <w:r w:rsidRPr="00AF43D6">
        <w:rPr>
          <w:b/>
          <w:bCs/>
          <w:sz w:val="32"/>
          <w:szCs w:val="22"/>
          <w:highlight w:val="cyan"/>
        </w:rPr>
        <w:t xml:space="preserve">PROCESOS POR </w:t>
      </w:r>
      <w:r w:rsidR="00CF5840" w:rsidRPr="00AF43D6">
        <w:rPr>
          <w:b/>
          <w:bCs/>
          <w:sz w:val="32"/>
          <w:szCs w:val="22"/>
          <w:highlight w:val="cyan"/>
        </w:rPr>
        <w:t xml:space="preserve">LEY DE INSOLVENCIA. </w:t>
      </w:r>
      <w:r w:rsidR="00CF5840" w:rsidRPr="00AF43D6">
        <w:rPr>
          <w:b/>
          <w:bCs/>
          <w:szCs w:val="22"/>
          <w:highlight w:val="cyan"/>
        </w:rPr>
        <w:t>(Ley 1380 de 2010 y Decreto 3274 de 2011)</w:t>
      </w:r>
    </w:p>
    <w:p w:rsidR="00176CA3" w:rsidRPr="00AF43D6" w:rsidRDefault="00176CA3" w:rsidP="00CF5840">
      <w:pPr>
        <w:pStyle w:val="Default"/>
        <w:spacing w:after="100" w:afterAutospacing="1"/>
        <w:ind w:left="720"/>
        <w:jc w:val="both"/>
        <w:rPr>
          <w:bCs/>
          <w:szCs w:val="22"/>
          <w:highlight w:val="cyan"/>
        </w:rPr>
      </w:pPr>
      <w:r w:rsidRPr="00AF43D6">
        <w:rPr>
          <w:bCs/>
          <w:szCs w:val="22"/>
          <w:highlight w:val="cyan"/>
        </w:rPr>
        <w:t xml:space="preserve">A solicitud del Liquidador pertinente se eleva </w:t>
      </w:r>
      <w:r w:rsidR="002A7D05" w:rsidRPr="00AF43D6">
        <w:rPr>
          <w:bCs/>
          <w:szCs w:val="22"/>
          <w:highlight w:val="cyan"/>
        </w:rPr>
        <w:t>Cotización</w:t>
      </w:r>
      <w:r w:rsidRPr="00AF43D6">
        <w:rPr>
          <w:bCs/>
          <w:szCs w:val="22"/>
          <w:highlight w:val="cyan"/>
        </w:rPr>
        <w:t xml:space="preserve"> según el requerimiento. Dicha </w:t>
      </w:r>
      <w:r w:rsidR="002A7D05" w:rsidRPr="00AF43D6">
        <w:rPr>
          <w:bCs/>
          <w:szCs w:val="22"/>
          <w:highlight w:val="cyan"/>
        </w:rPr>
        <w:t>Cotización</w:t>
      </w:r>
      <w:r w:rsidRPr="00AF43D6">
        <w:rPr>
          <w:bCs/>
          <w:szCs w:val="22"/>
          <w:highlight w:val="cyan"/>
        </w:rPr>
        <w:t xml:space="preserve"> es sometida a subasta inversa ante la Superintendencia de Sociedades la cual designa Perito Valuador.</w:t>
      </w:r>
    </w:p>
    <w:p w:rsidR="00CF5840" w:rsidRDefault="00CF5840" w:rsidP="00CF5840">
      <w:pPr>
        <w:pStyle w:val="Default"/>
        <w:spacing w:after="100" w:afterAutospacing="1"/>
        <w:ind w:left="720"/>
        <w:jc w:val="both"/>
        <w:rPr>
          <w:bCs/>
          <w:szCs w:val="22"/>
        </w:rPr>
      </w:pPr>
      <w:r w:rsidRPr="00AF43D6">
        <w:rPr>
          <w:bCs/>
          <w:szCs w:val="22"/>
          <w:highlight w:val="cyan"/>
        </w:rPr>
        <w:t xml:space="preserve">Esta Cotización se ajusta a lo pactado con el liquidador </w:t>
      </w:r>
      <w:r w:rsidR="009B0F35" w:rsidRPr="00AF43D6">
        <w:rPr>
          <w:bCs/>
          <w:szCs w:val="22"/>
          <w:highlight w:val="cyan"/>
        </w:rPr>
        <w:t>pertinente</w:t>
      </w:r>
      <w:r w:rsidRPr="00AF43D6">
        <w:rPr>
          <w:bCs/>
          <w:szCs w:val="22"/>
          <w:highlight w:val="cyan"/>
        </w:rPr>
        <w:t xml:space="preserve"> en cuanto a la presentación de la cotización y el convenio mutuo sobre el pago de honorarios.</w:t>
      </w:r>
      <w:r w:rsidRPr="00CF5840">
        <w:rPr>
          <w:bCs/>
          <w:szCs w:val="22"/>
        </w:rPr>
        <w:t xml:space="preserve"> </w:t>
      </w:r>
    </w:p>
    <w:p w:rsidR="00176CA3" w:rsidRPr="00CF5840" w:rsidRDefault="00176CA3" w:rsidP="00CF5840">
      <w:pPr>
        <w:pStyle w:val="Default"/>
        <w:spacing w:after="100" w:afterAutospacing="1"/>
        <w:ind w:left="720"/>
        <w:jc w:val="both"/>
        <w:rPr>
          <w:bCs/>
          <w:szCs w:val="22"/>
        </w:rPr>
      </w:pPr>
    </w:p>
    <w:p w:rsidR="00D66E05" w:rsidRDefault="00D66E05" w:rsidP="007E3F56">
      <w:pPr>
        <w:pStyle w:val="Default"/>
        <w:numPr>
          <w:ilvl w:val="0"/>
          <w:numId w:val="3"/>
        </w:numPr>
        <w:spacing w:after="100" w:afterAutospacing="1"/>
        <w:ind w:hanging="578"/>
        <w:jc w:val="both"/>
        <w:rPr>
          <w:b/>
          <w:bCs/>
          <w:sz w:val="32"/>
          <w:szCs w:val="22"/>
        </w:rPr>
      </w:pPr>
      <w:r>
        <w:rPr>
          <w:b/>
          <w:bCs/>
          <w:sz w:val="32"/>
          <w:szCs w:val="22"/>
        </w:rPr>
        <w:t>CATEGORIAS DE AVALUOS (</w:t>
      </w:r>
      <w:r w:rsidR="008849AE">
        <w:rPr>
          <w:b/>
          <w:bCs/>
          <w:sz w:val="32"/>
          <w:szCs w:val="22"/>
        </w:rPr>
        <w:t>Ley</w:t>
      </w:r>
      <w:r>
        <w:rPr>
          <w:b/>
          <w:bCs/>
          <w:sz w:val="32"/>
          <w:szCs w:val="22"/>
        </w:rPr>
        <w:t xml:space="preserve"> 1673 de 2013)</w:t>
      </w:r>
      <w:r w:rsidR="00327869">
        <w:rPr>
          <w:b/>
          <w:bCs/>
          <w:sz w:val="32"/>
          <w:szCs w:val="22"/>
        </w:rPr>
        <w:t>:</w:t>
      </w:r>
    </w:p>
    <w:tbl>
      <w:tblPr>
        <w:tblStyle w:val="Tablaconcuadrcula"/>
        <w:tblW w:w="8505" w:type="dxa"/>
        <w:tblInd w:w="817" w:type="dxa"/>
        <w:tblLayout w:type="fixed"/>
        <w:tblLook w:val="04A0" w:firstRow="1" w:lastRow="0" w:firstColumn="1" w:lastColumn="0" w:noHBand="0" w:noVBand="1"/>
      </w:tblPr>
      <w:tblGrid>
        <w:gridCol w:w="675"/>
        <w:gridCol w:w="2302"/>
        <w:gridCol w:w="5528"/>
      </w:tblGrid>
      <w:tr w:rsidR="00D66E05" w:rsidRPr="00165C3B" w:rsidTr="00B27FD9">
        <w:trPr>
          <w:trHeight w:val="59"/>
          <w:tblHeader/>
        </w:trPr>
        <w:tc>
          <w:tcPr>
            <w:tcW w:w="675" w:type="dxa"/>
            <w:shd w:val="clear" w:color="auto" w:fill="D9D9D9" w:themeFill="background1" w:themeFillShade="D9"/>
            <w:vAlign w:val="center"/>
          </w:tcPr>
          <w:p w:rsidR="00D66E05" w:rsidRPr="00165C3B" w:rsidRDefault="00D66E05" w:rsidP="00B27FD9">
            <w:pPr>
              <w:jc w:val="center"/>
              <w:rPr>
                <w:rFonts w:ascii="Arial" w:hAnsi="Arial" w:cs="Arial"/>
                <w:b/>
                <w:sz w:val="28"/>
              </w:rPr>
            </w:pPr>
            <w:r w:rsidRPr="00165C3B">
              <w:rPr>
                <w:rFonts w:ascii="Arial" w:hAnsi="Arial" w:cs="Arial"/>
                <w:b/>
                <w:sz w:val="28"/>
              </w:rPr>
              <w:t>No</w:t>
            </w:r>
          </w:p>
        </w:tc>
        <w:tc>
          <w:tcPr>
            <w:tcW w:w="2302" w:type="dxa"/>
            <w:shd w:val="clear" w:color="auto" w:fill="D9D9D9" w:themeFill="background1" w:themeFillShade="D9"/>
            <w:vAlign w:val="center"/>
          </w:tcPr>
          <w:p w:rsidR="00D66E05" w:rsidRPr="00165C3B" w:rsidRDefault="00D66E05" w:rsidP="00165C3B">
            <w:pPr>
              <w:jc w:val="center"/>
              <w:rPr>
                <w:rFonts w:ascii="Arial" w:hAnsi="Arial" w:cs="Arial"/>
                <w:b/>
                <w:sz w:val="28"/>
              </w:rPr>
            </w:pPr>
            <w:r w:rsidRPr="00165C3B">
              <w:rPr>
                <w:rFonts w:ascii="Arial" w:hAnsi="Arial" w:cs="Arial"/>
                <w:b/>
                <w:sz w:val="28"/>
              </w:rPr>
              <w:t>CATEGORIA</w:t>
            </w:r>
          </w:p>
        </w:tc>
        <w:tc>
          <w:tcPr>
            <w:tcW w:w="5528" w:type="dxa"/>
            <w:shd w:val="clear" w:color="auto" w:fill="D9D9D9" w:themeFill="background1" w:themeFillShade="D9"/>
            <w:vAlign w:val="center"/>
          </w:tcPr>
          <w:p w:rsidR="00D66E05" w:rsidRPr="00165C3B" w:rsidRDefault="00D66E05" w:rsidP="00165C3B">
            <w:pPr>
              <w:jc w:val="center"/>
              <w:rPr>
                <w:rFonts w:ascii="Arial" w:hAnsi="Arial" w:cs="Arial"/>
                <w:b/>
                <w:sz w:val="28"/>
              </w:rPr>
            </w:pPr>
            <w:r w:rsidRPr="00165C3B">
              <w:rPr>
                <w:rFonts w:ascii="Arial" w:hAnsi="Arial" w:cs="Arial"/>
                <w:b/>
                <w:sz w:val="28"/>
              </w:rPr>
              <w:t>ALCANCE</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1</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INMUEBLES URBANOS</w:t>
            </w:r>
          </w:p>
        </w:tc>
        <w:tc>
          <w:tcPr>
            <w:tcW w:w="5528" w:type="dxa"/>
            <w:vAlign w:val="center"/>
          </w:tcPr>
          <w:p w:rsidR="00D66E05" w:rsidRPr="00475793" w:rsidRDefault="00D66E05" w:rsidP="00306F97">
            <w:pPr>
              <w:spacing w:before="120"/>
              <w:jc w:val="both"/>
              <w:rPr>
                <w:rFonts w:ascii="Arial" w:hAnsi="Arial" w:cs="Arial"/>
                <w:sz w:val="24"/>
              </w:rPr>
            </w:pPr>
            <w:r w:rsidRPr="004E5B4F">
              <w:rPr>
                <w:rFonts w:ascii="Arial" w:hAnsi="Arial" w:cs="Arial"/>
                <w:spacing w:val="-2"/>
                <w:sz w:val="24"/>
                <w:szCs w:val="24"/>
                <w:highlight w:val="cyan"/>
              </w:rPr>
              <w:t>C</w:t>
            </w:r>
            <w:r w:rsidRPr="004E5B4F">
              <w:rPr>
                <w:rFonts w:ascii="Arial" w:hAnsi="Arial" w:cs="Arial"/>
                <w:spacing w:val="-1"/>
                <w:sz w:val="24"/>
                <w:szCs w:val="24"/>
                <w:highlight w:val="cyan"/>
              </w:rPr>
              <w:t>a</w:t>
            </w:r>
            <w:r w:rsidRPr="004E5B4F">
              <w:rPr>
                <w:rFonts w:ascii="Arial" w:hAnsi="Arial" w:cs="Arial"/>
                <w:sz w:val="24"/>
                <w:szCs w:val="24"/>
                <w:highlight w:val="cyan"/>
              </w:rPr>
              <w:t>s</w:t>
            </w:r>
            <w:r w:rsidRPr="004E5B4F">
              <w:rPr>
                <w:rFonts w:ascii="Arial" w:hAnsi="Arial" w:cs="Arial"/>
                <w:spacing w:val="-1"/>
                <w:sz w:val="24"/>
                <w:szCs w:val="24"/>
                <w:highlight w:val="cyan"/>
              </w:rPr>
              <w:t>a</w:t>
            </w:r>
            <w:r w:rsidRPr="004E5B4F">
              <w:rPr>
                <w:rFonts w:ascii="Arial" w:hAnsi="Arial" w:cs="Arial"/>
                <w:sz w:val="24"/>
                <w:szCs w:val="24"/>
                <w:highlight w:val="cyan"/>
              </w:rPr>
              <w:t xml:space="preserve">s, </w:t>
            </w:r>
            <w:r w:rsidRPr="004E5B4F">
              <w:rPr>
                <w:rFonts w:ascii="Arial" w:hAnsi="Arial" w:cs="Arial"/>
                <w:spacing w:val="-1"/>
                <w:sz w:val="24"/>
                <w:szCs w:val="24"/>
                <w:highlight w:val="cyan"/>
              </w:rPr>
              <w:t>ap</w:t>
            </w:r>
            <w:r w:rsidRPr="004E5B4F">
              <w:rPr>
                <w:rFonts w:ascii="Arial" w:hAnsi="Arial" w:cs="Arial"/>
                <w:spacing w:val="-5"/>
                <w:sz w:val="24"/>
                <w:szCs w:val="24"/>
                <w:highlight w:val="cyan"/>
              </w:rPr>
              <w:t>a</w:t>
            </w:r>
            <w:r w:rsidRPr="004E5B4F">
              <w:rPr>
                <w:rFonts w:ascii="Arial" w:hAnsi="Arial" w:cs="Arial"/>
                <w:spacing w:val="1"/>
                <w:sz w:val="24"/>
                <w:szCs w:val="24"/>
                <w:highlight w:val="cyan"/>
              </w:rPr>
              <w:t>r</w:t>
            </w:r>
            <w:r w:rsidRPr="004E5B4F">
              <w:rPr>
                <w:rFonts w:ascii="Arial" w:hAnsi="Arial" w:cs="Arial"/>
                <w:spacing w:val="-3"/>
                <w:sz w:val="24"/>
                <w:szCs w:val="24"/>
                <w:highlight w:val="cyan"/>
              </w:rPr>
              <w:t>t</w:t>
            </w:r>
            <w:r w:rsidRPr="004E5B4F">
              <w:rPr>
                <w:rFonts w:ascii="Arial" w:hAnsi="Arial" w:cs="Arial"/>
                <w:spacing w:val="-5"/>
                <w:sz w:val="24"/>
                <w:szCs w:val="24"/>
                <w:highlight w:val="cyan"/>
              </w:rPr>
              <w:t>a</w:t>
            </w:r>
            <w:r w:rsidRPr="004E5B4F">
              <w:rPr>
                <w:rFonts w:ascii="Arial" w:hAnsi="Arial" w:cs="Arial"/>
                <w:spacing w:val="6"/>
                <w:sz w:val="24"/>
                <w:szCs w:val="24"/>
                <w:highlight w:val="cyan"/>
              </w:rPr>
              <w:t>m</w:t>
            </w:r>
            <w:r w:rsidRPr="004E5B4F">
              <w:rPr>
                <w:rFonts w:ascii="Arial" w:hAnsi="Arial" w:cs="Arial"/>
                <w:spacing w:val="-5"/>
                <w:sz w:val="24"/>
                <w:szCs w:val="24"/>
                <w:highlight w:val="cyan"/>
              </w:rPr>
              <w:t>e</w:t>
            </w:r>
            <w:r w:rsidRPr="004E5B4F">
              <w:rPr>
                <w:rFonts w:ascii="Arial" w:hAnsi="Arial" w:cs="Arial"/>
                <w:spacing w:val="-1"/>
                <w:sz w:val="24"/>
                <w:szCs w:val="24"/>
                <w:highlight w:val="cyan"/>
              </w:rPr>
              <w:t>n</w:t>
            </w:r>
            <w:r w:rsidRPr="004E5B4F">
              <w:rPr>
                <w:rFonts w:ascii="Arial" w:hAnsi="Arial" w:cs="Arial"/>
                <w:spacing w:val="2"/>
                <w:sz w:val="24"/>
                <w:szCs w:val="24"/>
                <w:highlight w:val="cyan"/>
              </w:rPr>
              <w:t>t</w:t>
            </w:r>
            <w:r w:rsidRPr="004E5B4F">
              <w:rPr>
                <w:rFonts w:ascii="Arial" w:hAnsi="Arial" w:cs="Arial"/>
                <w:spacing w:val="-5"/>
                <w:sz w:val="24"/>
                <w:szCs w:val="24"/>
                <w:highlight w:val="cyan"/>
              </w:rPr>
              <w:t>o</w:t>
            </w:r>
            <w:r w:rsidRPr="004E5B4F">
              <w:rPr>
                <w:rFonts w:ascii="Arial" w:hAnsi="Arial" w:cs="Arial"/>
                <w:sz w:val="24"/>
                <w:szCs w:val="24"/>
                <w:highlight w:val="cyan"/>
              </w:rPr>
              <w:t xml:space="preserve">s, </w:t>
            </w:r>
            <w:r w:rsidRPr="004E5B4F">
              <w:rPr>
                <w:rFonts w:ascii="Arial" w:hAnsi="Arial" w:cs="Arial"/>
                <w:spacing w:val="-5"/>
                <w:sz w:val="24"/>
                <w:szCs w:val="24"/>
                <w:highlight w:val="cyan"/>
              </w:rPr>
              <w:t>e</w:t>
            </w:r>
            <w:r w:rsidRPr="004E5B4F">
              <w:rPr>
                <w:rFonts w:ascii="Arial" w:hAnsi="Arial" w:cs="Arial"/>
                <w:spacing w:val="-1"/>
                <w:sz w:val="24"/>
                <w:szCs w:val="24"/>
                <w:highlight w:val="cyan"/>
              </w:rPr>
              <w:t>d</w:t>
            </w:r>
            <w:r w:rsidRPr="004E5B4F">
              <w:rPr>
                <w:rFonts w:ascii="Arial" w:hAnsi="Arial" w:cs="Arial"/>
                <w:spacing w:val="3"/>
                <w:sz w:val="24"/>
                <w:szCs w:val="24"/>
                <w:highlight w:val="cyan"/>
              </w:rPr>
              <w:t>i</w:t>
            </w:r>
            <w:r w:rsidRPr="004E5B4F">
              <w:rPr>
                <w:rFonts w:ascii="Arial" w:hAnsi="Arial" w:cs="Arial"/>
                <w:spacing w:val="-3"/>
                <w:sz w:val="24"/>
                <w:szCs w:val="24"/>
                <w:highlight w:val="cyan"/>
              </w:rPr>
              <w:t>f</w:t>
            </w:r>
            <w:r w:rsidRPr="004E5B4F">
              <w:rPr>
                <w:rFonts w:ascii="Arial" w:hAnsi="Arial" w:cs="Arial"/>
                <w:spacing w:val="3"/>
                <w:sz w:val="24"/>
                <w:szCs w:val="24"/>
                <w:highlight w:val="cyan"/>
              </w:rPr>
              <w:t>i</w:t>
            </w:r>
            <w:r w:rsidRPr="004E5B4F">
              <w:rPr>
                <w:rFonts w:ascii="Arial" w:hAnsi="Arial" w:cs="Arial"/>
                <w:spacing w:val="-5"/>
                <w:sz w:val="24"/>
                <w:szCs w:val="24"/>
                <w:highlight w:val="cyan"/>
              </w:rPr>
              <w:t>c</w:t>
            </w:r>
            <w:r w:rsidRPr="004E5B4F">
              <w:rPr>
                <w:rFonts w:ascii="Arial" w:hAnsi="Arial" w:cs="Arial"/>
                <w:spacing w:val="3"/>
                <w:sz w:val="24"/>
                <w:szCs w:val="24"/>
                <w:highlight w:val="cyan"/>
              </w:rPr>
              <w:t>i</w:t>
            </w:r>
            <w:r w:rsidRPr="004E5B4F">
              <w:rPr>
                <w:rFonts w:ascii="Arial" w:hAnsi="Arial" w:cs="Arial"/>
                <w:spacing w:val="-1"/>
                <w:sz w:val="24"/>
                <w:szCs w:val="24"/>
                <w:highlight w:val="cyan"/>
              </w:rPr>
              <w:t>o</w:t>
            </w:r>
            <w:r w:rsidRPr="004E5B4F">
              <w:rPr>
                <w:rFonts w:ascii="Arial" w:hAnsi="Arial" w:cs="Arial"/>
                <w:spacing w:val="-5"/>
                <w:sz w:val="24"/>
                <w:szCs w:val="24"/>
                <w:highlight w:val="cyan"/>
              </w:rPr>
              <w:t>s</w:t>
            </w:r>
            <w:r w:rsidRPr="004E5B4F">
              <w:rPr>
                <w:rFonts w:ascii="Arial" w:hAnsi="Arial" w:cs="Arial"/>
                <w:sz w:val="24"/>
                <w:szCs w:val="24"/>
                <w:highlight w:val="cyan"/>
              </w:rPr>
              <w:t xml:space="preserve">, </w:t>
            </w:r>
            <w:r w:rsidRPr="004E5B4F">
              <w:rPr>
                <w:rFonts w:ascii="Arial" w:hAnsi="Arial" w:cs="Arial"/>
                <w:spacing w:val="-1"/>
                <w:sz w:val="24"/>
                <w:szCs w:val="24"/>
                <w:highlight w:val="cyan"/>
              </w:rPr>
              <w:t>o</w:t>
            </w:r>
            <w:r w:rsidRPr="004E5B4F">
              <w:rPr>
                <w:rFonts w:ascii="Arial" w:hAnsi="Arial" w:cs="Arial"/>
                <w:spacing w:val="-3"/>
                <w:sz w:val="24"/>
                <w:szCs w:val="24"/>
                <w:highlight w:val="cyan"/>
              </w:rPr>
              <w:t>f</w:t>
            </w:r>
            <w:r w:rsidRPr="004E5B4F">
              <w:rPr>
                <w:rFonts w:ascii="Arial" w:hAnsi="Arial" w:cs="Arial"/>
                <w:spacing w:val="3"/>
                <w:sz w:val="24"/>
                <w:szCs w:val="24"/>
                <w:highlight w:val="cyan"/>
              </w:rPr>
              <w:t>i</w:t>
            </w:r>
            <w:r w:rsidRPr="004E5B4F">
              <w:rPr>
                <w:rFonts w:ascii="Arial" w:hAnsi="Arial" w:cs="Arial"/>
                <w:spacing w:val="-5"/>
                <w:sz w:val="24"/>
                <w:szCs w:val="24"/>
                <w:highlight w:val="cyan"/>
              </w:rPr>
              <w:t>c</w:t>
            </w:r>
            <w:r w:rsidRPr="004E5B4F">
              <w:rPr>
                <w:rFonts w:ascii="Arial" w:hAnsi="Arial" w:cs="Arial"/>
                <w:spacing w:val="3"/>
                <w:sz w:val="24"/>
                <w:szCs w:val="24"/>
                <w:highlight w:val="cyan"/>
              </w:rPr>
              <w:t>i</w:t>
            </w:r>
            <w:r w:rsidRPr="004E5B4F">
              <w:rPr>
                <w:rFonts w:ascii="Arial" w:hAnsi="Arial" w:cs="Arial"/>
                <w:spacing w:val="-1"/>
                <w:sz w:val="24"/>
                <w:szCs w:val="24"/>
                <w:highlight w:val="cyan"/>
              </w:rPr>
              <w:t>na</w:t>
            </w:r>
            <w:r w:rsidRPr="004E5B4F">
              <w:rPr>
                <w:rFonts w:ascii="Arial" w:hAnsi="Arial" w:cs="Arial"/>
                <w:spacing w:val="-5"/>
                <w:sz w:val="24"/>
                <w:szCs w:val="24"/>
                <w:highlight w:val="cyan"/>
              </w:rPr>
              <w:t>s</w:t>
            </w:r>
            <w:r w:rsidRPr="004E5B4F">
              <w:rPr>
                <w:rFonts w:ascii="Arial" w:hAnsi="Arial" w:cs="Arial"/>
                <w:sz w:val="24"/>
                <w:szCs w:val="24"/>
                <w:highlight w:val="cyan"/>
              </w:rPr>
              <w:t xml:space="preserve">, </w:t>
            </w:r>
            <w:r w:rsidRPr="004E5B4F">
              <w:rPr>
                <w:rFonts w:ascii="Arial" w:hAnsi="Arial" w:cs="Arial"/>
                <w:spacing w:val="3"/>
                <w:sz w:val="24"/>
                <w:szCs w:val="24"/>
                <w:highlight w:val="cyan"/>
              </w:rPr>
              <w:t>l</w:t>
            </w:r>
            <w:r w:rsidRPr="004E5B4F">
              <w:rPr>
                <w:rFonts w:ascii="Arial" w:hAnsi="Arial" w:cs="Arial"/>
                <w:spacing w:val="-1"/>
                <w:sz w:val="24"/>
                <w:szCs w:val="24"/>
                <w:highlight w:val="cyan"/>
              </w:rPr>
              <w:t>o</w:t>
            </w:r>
            <w:r w:rsidRPr="004E5B4F">
              <w:rPr>
                <w:rFonts w:ascii="Arial" w:hAnsi="Arial" w:cs="Arial"/>
                <w:spacing w:val="-5"/>
                <w:sz w:val="24"/>
                <w:szCs w:val="24"/>
                <w:highlight w:val="cyan"/>
              </w:rPr>
              <w:t>c</w:t>
            </w:r>
            <w:r w:rsidRPr="004E5B4F">
              <w:rPr>
                <w:rFonts w:ascii="Arial" w:hAnsi="Arial" w:cs="Arial"/>
                <w:spacing w:val="-1"/>
                <w:sz w:val="24"/>
                <w:szCs w:val="24"/>
                <w:highlight w:val="cyan"/>
              </w:rPr>
              <w:t>a</w:t>
            </w:r>
            <w:r w:rsidRPr="004E5B4F">
              <w:rPr>
                <w:rFonts w:ascii="Arial" w:hAnsi="Arial" w:cs="Arial"/>
                <w:spacing w:val="3"/>
                <w:sz w:val="24"/>
                <w:szCs w:val="24"/>
                <w:highlight w:val="cyan"/>
              </w:rPr>
              <w:t>l</w:t>
            </w:r>
            <w:r w:rsidRPr="004E5B4F">
              <w:rPr>
                <w:rFonts w:ascii="Arial" w:hAnsi="Arial" w:cs="Arial"/>
                <w:spacing w:val="-5"/>
                <w:sz w:val="24"/>
                <w:szCs w:val="24"/>
                <w:highlight w:val="cyan"/>
              </w:rPr>
              <w:t>e</w:t>
            </w:r>
            <w:r w:rsidRPr="004E5B4F">
              <w:rPr>
                <w:rFonts w:ascii="Arial" w:hAnsi="Arial" w:cs="Arial"/>
                <w:sz w:val="24"/>
                <w:szCs w:val="24"/>
                <w:highlight w:val="cyan"/>
              </w:rPr>
              <w:t xml:space="preserve">s </w:t>
            </w:r>
            <w:r w:rsidRPr="004E5B4F">
              <w:rPr>
                <w:rFonts w:ascii="Arial" w:hAnsi="Arial" w:cs="Arial"/>
                <w:w w:val="101"/>
                <w:sz w:val="24"/>
                <w:szCs w:val="24"/>
                <w:highlight w:val="cyan"/>
              </w:rPr>
              <w:t>c</w:t>
            </w:r>
            <w:r w:rsidRPr="004E5B4F">
              <w:rPr>
                <w:rFonts w:ascii="Arial" w:hAnsi="Arial" w:cs="Arial"/>
                <w:spacing w:val="-5"/>
                <w:w w:val="101"/>
                <w:sz w:val="24"/>
                <w:szCs w:val="24"/>
                <w:highlight w:val="cyan"/>
              </w:rPr>
              <w:t>o</w:t>
            </w:r>
            <w:r w:rsidRPr="004E5B4F">
              <w:rPr>
                <w:rFonts w:ascii="Arial" w:hAnsi="Arial" w:cs="Arial"/>
                <w:spacing w:val="6"/>
                <w:w w:val="101"/>
                <w:sz w:val="24"/>
                <w:szCs w:val="24"/>
                <w:highlight w:val="cyan"/>
              </w:rPr>
              <w:t>m</w:t>
            </w:r>
            <w:r w:rsidRPr="004E5B4F">
              <w:rPr>
                <w:rFonts w:ascii="Arial" w:hAnsi="Arial" w:cs="Arial"/>
                <w:spacing w:val="-5"/>
                <w:w w:val="101"/>
                <w:sz w:val="24"/>
                <w:szCs w:val="24"/>
                <w:highlight w:val="cyan"/>
              </w:rPr>
              <w:t>e</w:t>
            </w:r>
            <w:r w:rsidRPr="004E5B4F">
              <w:rPr>
                <w:rFonts w:ascii="Arial" w:hAnsi="Arial" w:cs="Arial"/>
                <w:spacing w:val="-3"/>
                <w:w w:val="101"/>
                <w:sz w:val="24"/>
                <w:szCs w:val="24"/>
                <w:highlight w:val="cyan"/>
              </w:rPr>
              <w:t>r</w:t>
            </w:r>
            <w:r w:rsidRPr="004E5B4F">
              <w:rPr>
                <w:rFonts w:ascii="Arial" w:hAnsi="Arial" w:cs="Arial"/>
                <w:w w:val="101"/>
                <w:sz w:val="24"/>
                <w:szCs w:val="24"/>
                <w:highlight w:val="cyan"/>
              </w:rPr>
              <w:t>c</w:t>
            </w:r>
            <w:r w:rsidRPr="004E5B4F">
              <w:rPr>
                <w:rFonts w:ascii="Arial" w:hAnsi="Arial" w:cs="Arial"/>
                <w:spacing w:val="3"/>
                <w:w w:val="101"/>
                <w:sz w:val="24"/>
                <w:szCs w:val="24"/>
                <w:highlight w:val="cyan"/>
              </w:rPr>
              <w:t>i</w:t>
            </w:r>
            <w:r w:rsidRPr="004E5B4F">
              <w:rPr>
                <w:rFonts w:ascii="Arial" w:hAnsi="Arial" w:cs="Arial"/>
                <w:spacing w:val="-5"/>
                <w:w w:val="101"/>
                <w:sz w:val="24"/>
                <w:szCs w:val="24"/>
                <w:highlight w:val="cyan"/>
              </w:rPr>
              <w:t>a</w:t>
            </w:r>
            <w:r w:rsidRPr="004E5B4F">
              <w:rPr>
                <w:rFonts w:ascii="Arial" w:hAnsi="Arial" w:cs="Arial"/>
                <w:spacing w:val="3"/>
                <w:w w:val="101"/>
                <w:sz w:val="24"/>
                <w:szCs w:val="24"/>
                <w:highlight w:val="cyan"/>
              </w:rPr>
              <w:t>l</w:t>
            </w:r>
            <w:r w:rsidRPr="004E5B4F">
              <w:rPr>
                <w:rFonts w:ascii="Arial" w:hAnsi="Arial" w:cs="Arial"/>
                <w:spacing w:val="-5"/>
                <w:w w:val="101"/>
                <w:sz w:val="24"/>
                <w:szCs w:val="24"/>
                <w:highlight w:val="cyan"/>
              </w:rPr>
              <w:t>e</w:t>
            </w:r>
            <w:r w:rsidRPr="004E5B4F">
              <w:rPr>
                <w:rFonts w:ascii="Arial" w:hAnsi="Arial" w:cs="Arial"/>
                <w:w w:val="101"/>
                <w:sz w:val="24"/>
                <w:szCs w:val="24"/>
                <w:highlight w:val="cyan"/>
              </w:rPr>
              <w:t xml:space="preserve">s, </w:t>
            </w:r>
            <w:r w:rsidRPr="004E5B4F">
              <w:rPr>
                <w:rFonts w:ascii="Arial" w:hAnsi="Arial" w:cs="Arial"/>
                <w:spacing w:val="2"/>
                <w:sz w:val="24"/>
                <w:szCs w:val="24"/>
                <w:highlight w:val="cyan"/>
              </w:rPr>
              <w:t>t</w:t>
            </w:r>
            <w:r w:rsidRPr="004E5B4F">
              <w:rPr>
                <w:rFonts w:ascii="Arial" w:hAnsi="Arial" w:cs="Arial"/>
                <w:spacing w:val="-5"/>
                <w:sz w:val="24"/>
                <w:szCs w:val="24"/>
                <w:highlight w:val="cyan"/>
              </w:rPr>
              <w:t>e</w:t>
            </w:r>
            <w:r w:rsidRPr="004E5B4F">
              <w:rPr>
                <w:rFonts w:ascii="Arial" w:hAnsi="Arial" w:cs="Arial"/>
                <w:spacing w:val="1"/>
                <w:sz w:val="24"/>
                <w:szCs w:val="24"/>
                <w:highlight w:val="cyan"/>
              </w:rPr>
              <w:t>rr</w:t>
            </w:r>
            <w:r w:rsidRPr="004E5B4F">
              <w:rPr>
                <w:rFonts w:ascii="Arial" w:hAnsi="Arial" w:cs="Arial"/>
                <w:spacing w:val="-5"/>
                <w:sz w:val="24"/>
                <w:szCs w:val="24"/>
                <w:highlight w:val="cyan"/>
              </w:rPr>
              <w:t>e</w:t>
            </w:r>
            <w:r w:rsidRPr="004E5B4F">
              <w:rPr>
                <w:rFonts w:ascii="Arial" w:hAnsi="Arial" w:cs="Arial"/>
                <w:spacing w:val="-1"/>
                <w:sz w:val="24"/>
                <w:szCs w:val="24"/>
                <w:highlight w:val="cyan"/>
              </w:rPr>
              <w:t>no</w:t>
            </w:r>
            <w:r w:rsidRPr="004E5B4F">
              <w:rPr>
                <w:rFonts w:ascii="Arial" w:hAnsi="Arial" w:cs="Arial"/>
                <w:sz w:val="24"/>
                <w:szCs w:val="24"/>
                <w:highlight w:val="cyan"/>
              </w:rPr>
              <w:t>s</w:t>
            </w:r>
            <w:r w:rsidRPr="004E5B4F">
              <w:rPr>
                <w:rFonts w:ascii="Arial" w:hAnsi="Arial" w:cs="Arial"/>
                <w:spacing w:val="7"/>
                <w:sz w:val="24"/>
                <w:szCs w:val="24"/>
                <w:highlight w:val="cyan"/>
              </w:rPr>
              <w:t xml:space="preserve"> </w:t>
            </w:r>
            <w:r w:rsidRPr="004E5B4F">
              <w:rPr>
                <w:rFonts w:ascii="Arial" w:hAnsi="Arial" w:cs="Arial"/>
                <w:sz w:val="24"/>
                <w:szCs w:val="24"/>
                <w:highlight w:val="cyan"/>
              </w:rPr>
              <w:t>y</w:t>
            </w:r>
            <w:r w:rsidRPr="004E5B4F">
              <w:rPr>
                <w:rFonts w:ascii="Arial" w:hAnsi="Arial" w:cs="Arial"/>
                <w:spacing w:val="1"/>
                <w:sz w:val="24"/>
                <w:szCs w:val="24"/>
                <w:highlight w:val="cyan"/>
              </w:rPr>
              <w:t xml:space="preserve"> </w:t>
            </w:r>
            <w:r w:rsidRPr="004E5B4F">
              <w:rPr>
                <w:rFonts w:ascii="Arial" w:hAnsi="Arial" w:cs="Arial"/>
                <w:spacing w:val="-1"/>
                <w:sz w:val="24"/>
                <w:szCs w:val="24"/>
                <w:highlight w:val="cyan"/>
              </w:rPr>
              <w:t>bod</w:t>
            </w:r>
            <w:r w:rsidRPr="004E5B4F">
              <w:rPr>
                <w:rFonts w:ascii="Arial" w:hAnsi="Arial" w:cs="Arial"/>
                <w:spacing w:val="-5"/>
                <w:sz w:val="24"/>
                <w:szCs w:val="24"/>
                <w:highlight w:val="cyan"/>
              </w:rPr>
              <w:t>e</w:t>
            </w:r>
            <w:r w:rsidRPr="004E5B4F">
              <w:rPr>
                <w:rFonts w:ascii="Arial" w:hAnsi="Arial" w:cs="Arial"/>
                <w:spacing w:val="-1"/>
                <w:sz w:val="24"/>
                <w:szCs w:val="24"/>
                <w:highlight w:val="cyan"/>
              </w:rPr>
              <w:t>ga</w:t>
            </w:r>
            <w:r w:rsidRPr="004E5B4F">
              <w:rPr>
                <w:rFonts w:ascii="Arial" w:hAnsi="Arial" w:cs="Arial"/>
                <w:sz w:val="24"/>
                <w:szCs w:val="24"/>
                <w:highlight w:val="cyan"/>
              </w:rPr>
              <w:t>s</w:t>
            </w:r>
            <w:r w:rsidRPr="004E5B4F">
              <w:rPr>
                <w:rFonts w:ascii="Arial" w:hAnsi="Arial" w:cs="Arial"/>
                <w:spacing w:val="7"/>
                <w:sz w:val="24"/>
                <w:szCs w:val="24"/>
                <w:highlight w:val="cyan"/>
              </w:rPr>
              <w:t xml:space="preserve"> </w:t>
            </w:r>
            <w:r w:rsidRPr="004E5B4F">
              <w:rPr>
                <w:rFonts w:ascii="Arial" w:hAnsi="Arial" w:cs="Arial"/>
                <w:sz w:val="24"/>
                <w:szCs w:val="24"/>
                <w:highlight w:val="cyan"/>
              </w:rPr>
              <w:t>s</w:t>
            </w:r>
            <w:r w:rsidRPr="004E5B4F">
              <w:rPr>
                <w:rFonts w:ascii="Arial" w:hAnsi="Arial" w:cs="Arial"/>
                <w:spacing w:val="-2"/>
                <w:sz w:val="24"/>
                <w:szCs w:val="24"/>
                <w:highlight w:val="cyan"/>
              </w:rPr>
              <w:t>i</w:t>
            </w:r>
            <w:r w:rsidRPr="004E5B4F">
              <w:rPr>
                <w:rFonts w:ascii="Arial" w:hAnsi="Arial" w:cs="Arial"/>
                <w:spacing w:val="2"/>
                <w:sz w:val="24"/>
                <w:szCs w:val="24"/>
                <w:highlight w:val="cyan"/>
              </w:rPr>
              <w:t>t</w:t>
            </w:r>
            <w:r w:rsidRPr="004E5B4F">
              <w:rPr>
                <w:rFonts w:ascii="Arial" w:hAnsi="Arial" w:cs="Arial"/>
                <w:spacing w:val="-1"/>
                <w:sz w:val="24"/>
                <w:szCs w:val="24"/>
                <w:highlight w:val="cyan"/>
              </w:rPr>
              <w:t>uad</w:t>
            </w:r>
            <w:r w:rsidRPr="004E5B4F">
              <w:rPr>
                <w:rFonts w:ascii="Arial" w:hAnsi="Arial" w:cs="Arial"/>
                <w:spacing w:val="-5"/>
                <w:sz w:val="24"/>
                <w:szCs w:val="24"/>
                <w:highlight w:val="cyan"/>
              </w:rPr>
              <w:t>o</w:t>
            </w:r>
            <w:r w:rsidRPr="004E5B4F">
              <w:rPr>
                <w:rFonts w:ascii="Arial" w:hAnsi="Arial" w:cs="Arial"/>
                <w:sz w:val="24"/>
                <w:szCs w:val="24"/>
                <w:highlight w:val="cyan"/>
              </w:rPr>
              <w:t>s</w:t>
            </w:r>
            <w:r w:rsidRPr="004E5B4F">
              <w:rPr>
                <w:rFonts w:ascii="Arial" w:hAnsi="Arial" w:cs="Arial"/>
                <w:spacing w:val="7"/>
                <w:sz w:val="24"/>
                <w:szCs w:val="24"/>
                <w:highlight w:val="cyan"/>
              </w:rPr>
              <w:t xml:space="preserve"> </w:t>
            </w:r>
            <w:r w:rsidRPr="004E5B4F">
              <w:rPr>
                <w:rFonts w:ascii="Arial" w:hAnsi="Arial" w:cs="Arial"/>
                <w:spacing w:val="2"/>
                <w:sz w:val="24"/>
                <w:szCs w:val="24"/>
                <w:highlight w:val="cyan"/>
              </w:rPr>
              <w:t>t</w:t>
            </w:r>
            <w:r w:rsidRPr="004E5B4F">
              <w:rPr>
                <w:rFonts w:ascii="Arial" w:hAnsi="Arial" w:cs="Arial"/>
                <w:spacing w:val="-5"/>
                <w:sz w:val="24"/>
                <w:szCs w:val="24"/>
                <w:highlight w:val="cyan"/>
              </w:rPr>
              <w:t>o</w:t>
            </w:r>
            <w:r w:rsidRPr="004E5B4F">
              <w:rPr>
                <w:rFonts w:ascii="Arial" w:hAnsi="Arial" w:cs="Arial"/>
                <w:spacing w:val="2"/>
                <w:sz w:val="24"/>
                <w:szCs w:val="24"/>
                <w:highlight w:val="cyan"/>
              </w:rPr>
              <w:t>t</w:t>
            </w:r>
            <w:r w:rsidRPr="004E5B4F">
              <w:rPr>
                <w:rFonts w:ascii="Arial" w:hAnsi="Arial" w:cs="Arial"/>
                <w:spacing w:val="-5"/>
                <w:sz w:val="24"/>
                <w:szCs w:val="24"/>
                <w:highlight w:val="cyan"/>
              </w:rPr>
              <w:t>a</w:t>
            </w:r>
            <w:r w:rsidRPr="004E5B4F">
              <w:rPr>
                <w:rFonts w:ascii="Arial" w:hAnsi="Arial" w:cs="Arial"/>
                <w:sz w:val="24"/>
                <w:szCs w:val="24"/>
                <w:highlight w:val="cyan"/>
              </w:rPr>
              <w:t>l</w:t>
            </w:r>
            <w:r w:rsidRPr="004E5B4F">
              <w:rPr>
                <w:rFonts w:ascii="Arial" w:hAnsi="Arial" w:cs="Arial"/>
                <w:spacing w:val="6"/>
                <w:sz w:val="24"/>
                <w:szCs w:val="24"/>
                <w:highlight w:val="cyan"/>
              </w:rPr>
              <w:t xml:space="preserve"> </w:t>
            </w:r>
            <w:r w:rsidRPr="004E5B4F">
              <w:rPr>
                <w:rFonts w:ascii="Arial" w:hAnsi="Arial" w:cs="Arial"/>
                <w:sz w:val="24"/>
                <w:szCs w:val="24"/>
                <w:highlight w:val="cyan"/>
              </w:rPr>
              <w:t xml:space="preserve">o </w:t>
            </w:r>
            <w:r w:rsidRPr="004E5B4F">
              <w:rPr>
                <w:rFonts w:ascii="Arial" w:hAnsi="Arial" w:cs="Arial"/>
                <w:spacing w:val="-1"/>
                <w:sz w:val="24"/>
                <w:szCs w:val="24"/>
                <w:highlight w:val="cyan"/>
              </w:rPr>
              <w:t>pa</w:t>
            </w:r>
            <w:r w:rsidRPr="004E5B4F">
              <w:rPr>
                <w:rFonts w:ascii="Arial" w:hAnsi="Arial" w:cs="Arial"/>
                <w:spacing w:val="1"/>
                <w:sz w:val="24"/>
                <w:szCs w:val="24"/>
                <w:highlight w:val="cyan"/>
              </w:rPr>
              <w:t>r</w:t>
            </w:r>
            <w:r w:rsidRPr="004E5B4F">
              <w:rPr>
                <w:rFonts w:ascii="Arial" w:hAnsi="Arial" w:cs="Arial"/>
                <w:spacing w:val="-5"/>
                <w:sz w:val="24"/>
                <w:szCs w:val="24"/>
                <w:highlight w:val="cyan"/>
              </w:rPr>
              <w:t>c</w:t>
            </w:r>
            <w:r w:rsidRPr="004E5B4F">
              <w:rPr>
                <w:rFonts w:ascii="Arial" w:hAnsi="Arial" w:cs="Arial"/>
                <w:spacing w:val="3"/>
                <w:sz w:val="24"/>
                <w:szCs w:val="24"/>
                <w:highlight w:val="cyan"/>
              </w:rPr>
              <w:t>i</w:t>
            </w:r>
            <w:r w:rsidRPr="004E5B4F">
              <w:rPr>
                <w:rFonts w:ascii="Arial" w:hAnsi="Arial" w:cs="Arial"/>
                <w:spacing w:val="-5"/>
                <w:sz w:val="24"/>
                <w:szCs w:val="24"/>
                <w:highlight w:val="cyan"/>
              </w:rPr>
              <w:t>a</w:t>
            </w:r>
            <w:r w:rsidRPr="004E5B4F">
              <w:rPr>
                <w:rFonts w:ascii="Arial" w:hAnsi="Arial" w:cs="Arial"/>
                <w:spacing w:val="-2"/>
                <w:sz w:val="24"/>
                <w:szCs w:val="24"/>
                <w:highlight w:val="cyan"/>
              </w:rPr>
              <w:t>l</w:t>
            </w:r>
            <w:r w:rsidRPr="004E5B4F">
              <w:rPr>
                <w:rFonts w:ascii="Arial" w:hAnsi="Arial" w:cs="Arial"/>
                <w:spacing w:val="6"/>
                <w:sz w:val="24"/>
                <w:szCs w:val="24"/>
                <w:highlight w:val="cyan"/>
              </w:rPr>
              <w:t>m</w:t>
            </w:r>
            <w:r w:rsidRPr="004E5B4F">
              <w:rPr>
                <w:rFonts w:ascii="Arial" w:hAnsi="Arial" w:cs="Arial"/>
                <w:spacing w:val="-5"/>
                <w:sz w:val="24"/>
                <w:szCs w:val="24"/>
                <w:highlight w:val="cyan"/>
              </w:rPr>
              <w:t>en</w:t>
            </w:r>
            <w:r w:rsidRPr="004E5B4F">
              <w:rPr>
                <w:rFonts w:ascii="Arial" w:hAnsi="Arial" w:cs="Arial"/>
                <w:spacing w:val="2"/>
                <w:sz w:val="24"/>
                <w:szCs w:val="24"/>
                <w:highlight w:val="cyan"/>
              </w:rPr>
              <w:t>t</w:t>
            </w:r>
            <w:r w:rsidRPr="004E5B4F">
              <w:rPr>
                <w:rFonts w:ascii="Arial" w:hAnsi="Arial" w:cs="Arial"/>
                <w:sz w:val="24"/>
                <w:szCs w:val="24"/>
                <w:highlight w:val="cyan"/>
              </w:rPr>
              <w:t>e</w:t>
            </w:r>
            <w:r w:rsidRPr="004E5B4F">
              <w:rPr>
                <w:rFonts w:ascii="Arial" w:hAnsi="Arial" w:cs="Arial"/>
                <w:spacing w:val="5"/>
                <w:sz w:val="24"/>
                <w:szCs w:val="24"/>
                <w:highlight w:val="cyan"/>
              </w:rPr>
              <w:t xml:space="preserve"> </w:t>
            </w:r>
            <w:r w:rsidRPr="004E5B4F">
              <w:rPr>
                <w:rFonts w:ascii="Arial" w:hAnsi="Arial" w:cs="Arial"/>
                <w:spacing w:val="-5"/>
                <w:sz w:val="24"/>
                <w:szCs w:val="24"/>
                <w:highlight w:val="cyan"/>
              </w:rPr>
              <w:t>e</w:t>
            </w:r>
            <w:r w:rsidRPr="004E5B4F">
              <w:rPr>
                <w:rFonts w:ascii="Arial" w:hAnsi="Arial" w:cs="Arial"/>
                <w:sz w:val="24"/>
                <w:szCs w:val="24"/>
                <w:highlight w:val="cyan"/>
              </w:rPr>
              <w:t>n</w:t>
            </w:r>
            <w:r w:rsidRPr="004E5B4F">
              <w:rPr>
                <w:rFonts w:ascii="Arial" w:hAnsi="Arial" w:cs="Arial"/>
                <w:spacing w:val="6"/>
                <w:sz w:val="24"/>
                <w:szCs w:val="24"/>
                <w:highlight w:val="cyan"/>
              </w:rPr>
              <w:t xml:space="preserve"> </w:t>
            </w:r>
            <w:r w:rsidRPr="004E5B4F">
              <w:rPr>
                <w:rFonts w:ascii="Arial" w:hAnsi="Arial" w:cs="Arial"/>
                <w:spacing w:val="-1"/>
                <w:sz w:val="24"/>
                <w:szCs w:val="24"/>
                <w:highlight w:val="cyan"/>
              </w:rPr>
              <w:t>á</w:t>
            </w:r>
            <w:r w:rsidRPr="004E5B4F">
              <w:rPr>
                <w:rFonts w:ascii="Arial" w:hAnsi="Arial" w:cs="Arial"/>
                <w:spacing w:val="6"/>
                <w:sz w:val="24"/>
                <w:szCs w:val="24"/>
                <w:highlight w:val="cyan"/>
              </w:rPr>
              <w:t>r</w:t>
            </w:r>
            <w:r w:rsidRPr="004E5B4F">
              <w:rPr>
                <w:rFonts w:ascii="Arial" w:hAnsi="Arial" w:cs="Arial"/>
                <w:spacing w:val="-5"/>
                <w:sz w:val="24"/>
                <w:szCs w:val="24"/>
                <w:highlight w:val="cyan"/>
              </w:rPr>
              <w:t>e</w:t>
            </w:r>
            <w:r w:rsidRPr="004E5B4F">
              <w:rPr>
                <w:rFonts w:ascii="Arial" w:hAnsi="Arial" w:cs="Arial"/>
                <w:spacing w:val="-1"/>
                <w:sz w:val="24"/>
                <w:szCs w:val="24"/>
                <w:highlight w:val="cyan"/>
              </w:rPr>
              <w:t>a</w:t>
            </w:r>
            <w:r w:rsidRPr="004E5B4F">
              <w:rPr>
                <w:rFonts w:ascii="Arial" w:hAnsi="Arial" w:cs="Arial"/>
                <w:sz w:val="24"/>
                <w:szCs w:val="24"/>
                <w:highlight w:val="cyan"/>
              </w:rPr>
              <w:t>s</w:t>
            </w:r>
            <w:r w:rsidRPr="004E5B4F">
              <w:rPr>
                <w:rFonts w:ascii="Arial" w:hAnsi="Arial" w:cs="Arial"/>
                <w:spacing w:val="4"/>
                <w:sz w:val="24"/>
                <w:szCs w:val="24"/>
                <w:highlight w:val="cyan"/>
              </w:rPr>
              <w:t xml:space="preserve"> </w:t>
            </w:r>
            <w:r w:rsidRPr="004E5B4F">
              <w:rPr>
                <w:rFonts w:ascii="Arial" w:hAnsi="Arial" w:cs="Arial"/>
                <w:spacing w:val="-1"/>
                <w:w w:val="101"/>
                <w:sz w:val="24"/>
                <w:szCs w:val="24"/>
                <w:highlight w:val="cyan"/>
              </w:rPr>
              <w:t>u</w:t>
            </w:r>
            <w:r w:rsidRPr="004E5B4F">
              <w:rPr>
                <w:rFonts w:ascii="Arial" w:hAnsi="Arial" w:cs="Arial"/>
                <w:spacing w:val="1"/>
                <w:w w:val="101"/>
                <w:sz w:val="24"/>
                <w:szCs w:val="24"/>
                <w:highlight w:val="cyan"/>
              </w:rPr>
              <w:t>r</w:t>
            </w:r>
            <w:r w:rsidRPr="004E5B4F">
              <w:rPr>
                <w:rFonts w:ascii="Arial" w:hAnsi="Arial" w:cs="Arial"/>
                <w:spacing w:val="-1"/>
                <w:w w:val="101"/>
                <w:sz w:val="24"/>
                <w:szCs w:val="24"/>
                <w:highlight w:val="cyan"/>
              </w:rPr>
              <w:t>ban</w:t>
            </w:r>
            <w:r w:rsidRPr="004E5B4F">
              <w:rPr>
                <w:rFonts w:ascii="Arial" w:hAnsi="Arial" w:cs="Arial"/>
                <w:spacing w:val="-5"/>
                <w:w w:val="101"/>
                <w:sz w:val="24"/>
                <w:szCs w:val="24"/>
                <w:highlight w:val="cyan"/>
              </w:rPr>
              <w:t>a</w:t>
            </w:r>
            <w:r w:rsidRPr="004E5B4F">
              <w:rPr>
                <w:rFonts w:ascii="Arial" w:hAnsi="Arial" w:cs="Arial"/>
                <w:w w:val="101"/>
                <w:sz w:val="24"/>
                <w:szCs w:val="24"/>
                <w:highlight w:val="cyan"/>
              </w:rPr>
              <w:t xml:space="preserve">s, </w:t>
            </w:r>
            <w:r w:rsidRPr="004E5B4F">
              <w:rPr>
                <w:rFonts w:ascii="Arial" w:hAnsi="Arial" w:cs="Arial"/>
                <w:spacing w:val="3"/>
                <w:sz w:val="24"/>
                <w:szCs w:val="24"/>
                <w:highlight w:val="cyan"/>
              </w:rPr>
              <w:t>l</w:t>
            </w:r>
            <w:r w:rsidRPr="004E5B4F">
              <w:rPr>
                <w:rFonts w:ascii="Arial" w:hAnsi="Arial" w:cs="Arial"/>
                <w:spacing w:val="-1"/>
                <w:sz w:val="24"/>
                <w:szCs w:val="24"/>
                <w:highlight w:val="cyan"/>
              </w:rPr>
              <w:t>o</w:t>
            </w:r>
            <w:r w:rsidRPr="004E5B4F">
              <w:rPr>
                <w:rFonts w:ascii="Arial" w:hAnsi="Arial" w:cs="Arial"/>
                <w:spacing w:val="2"/>
                <w:sz w:val="24"/>
                <w:szCs w:val="24"/>
                <w:highlight w:val="cyan"/>
              </w:rPr>
              <w:t>t</w:t>
            </w:r>
            <w:r w:rsidRPr="004E5B4F">
              <w:rPr>
                <w:rFonts w:ascii="Arial" w:hAnsi="Arial" w:cs="Arial"/>
                <w:spacing w:val="-5"/>
                <w:sz w:val="24"/>
                <w:szCs w:val="24"/>
                <w:highlight w:val="cyan"/>
              </w:rPr>
              <w:t>e</w:t>
            </w:r>
            <w:r w:rsidRPr="004E5B4F">
              <w:rPr>
                <w:rFonts w:ascii="Arial" w:hAnsi="Arial" w:cs="Arial"/>
                <w:sz w:val="24"/>
                <w:szCs w:val="24"/>
                <w:highlight w:val="cyan"/>
              </w:rPr>
              <w:t>s</w:t>
            </w:r>
            <w:r w:rsidRPr="004E5B4F">
              <w:rPr>
                <w:rFonts w:ascii="Arial" w:hAnsi="Arial" w:cs="Arial"/>
                <w:spacing w:val="49"/>
                <w:sz w:val="24"/>
                <w:szCs w:val="24"/>
                <w:highlight w:val="cyan"/>
              </w:rPr>
              <w:t xml:space="preserve"> </w:t>
            </w:r>
            <w:r w:rsidRPr="004E5B4F">
              <w:rPr>
                <w:rFonts w:ascii="Arial" w:hAnsi="Arial" w:cs="Arial"/>
                <w:spacing w:val="-1"/>
                <w:sz w:val="24"/>
                <w:szCs w:val="24"/>
                <w:highlight w:val="cyan"/>
              </w:rPr>
              <w:t>n</w:t>
            </w:r>
            <w:r w:rsidRPr="004E5B4F">
              <w:rPr>
                <w:rFonts w:ascii="Arial" w:hAnsi="Arial" w:cs="Arial"/>
                <w:sz w:val="24"/>
                <w:szCs w:val="24"/>
                <w:highlight w:val="cyan"/>
              </w:rPr>
              <w:t>o</w:t>
            </w:r>
            <w:r w:rsidRPr="004E5B4F">
              <w:rPr>
                <w:rFonts w:ascii="Arial" w:hAnsi="Arial" w:cs="Arial"/>
                <w:spacing w:val="47"/>
                <w:sz w:val="24"/>
                <w:szCs w:val="24"/>
                <w:highlight w:val="cyan"/>
              </w:rPr>
              <w:t xml:space="preserve"> </w:t>
            </w:r>
            <w:r w:rsidRPr="004E5B4F">
              <w:rPr>
                <w:rFonts w:ascii="Arial" w:hAnsi="Arial" w:cs="Arial"/>
                <w:spacing w:val="-5"/>
                <w:sz w:val="24"/>
                <w:szCs w:val="24"/>
                <w:highlight w:val="cyan"/>
              </w:rPr>
              <w:t>c</w:t>
            </w:r>
            <w:r w:rsidRPr="004E5B4F">
              <w:rPr>
                <w:rFonts w:ascii="Arial" w:hAnsi="Arial" w:cs="Arial"/>
                <w:spacing w:val="2"/>
                <w:sz w:val="24"/>
                <w:szCs w:val="24"/>
                <w:highlight w:val="cyan"/>
              </w:rPr>
              <w:t>:</w:t>
            </w:r>
            <w:r w:rsidRPr="004E5B4F">
              <w:rPr>
                <w:rFonts w:ascii="Arial" w:hAnsi="Arial" w:cs="Arial"/>
                <w:spacing w:val="-1"/>
                <w:sz w:val="24"/>
                <w:szCs w:val="24"/>
                <w:highlight w:val="cyan"/>
              </w:rPr>
              <w:t>a</w:t>
            </w:r>
            <w:r w:rsidRPr="004E5B4F">
              <w:rPr>
                <w:rFonts w:ascii="Arial" w:hAnsi="Arial" w:cs="Arial"/>
                <w:spacing w:val="-5"/>
                <w:sz w:val="24"/>
                <w:szCs w:val="24"/>
                <w:highlight w:val="cyan"/>
              </w:rPr>
              <w:t>s</w:t>
            </w:r>
            <w:r w:rsidRPr="004E5B4F">
              <w:rPr>
                <w:rFonts w:ascii="Arial" w:hAnsi="Arial" w:cs="Arial"/>
                <w:spacing w:val="3"/>
                <w:sz w:val="24"/>
                <w:szCs w:val="24"/>
                <w:highlight w:val="cyan"/>
              </w:rPr>
              <w:t>i</w:t>
            </w:r>
            <w:r w:rsidRPr="004E5B4F">
              <w:rPr>
                <w:rFonts w:ascii="Arial" w:hAnsi="Arial" w:cs="Arial"/>
                <w:spacing w:val="-3"/>
                <w:sz w:val="24"/>
                <w:szCs w:val="24"/>
                <w:highlight w:val="cyan"/>
              </w:rPr>
              <w:t>f</w:t>
            </w:r>
            <w:r w:rsidRPr="004E5B4F">
              <w:rPr>
                <w:rFonts w:ascii="Arial" w:hAnsi="Arial" w:cs="Arial"/>
                <w:spacing w:val="3"/>
                <w:sz w:val="24"/>
                <w:szCs w:val="24"/>
                <w:highlight w:val="cyan"/>
              </w:rPr>
              <w:t>i</w:t>
            </w:r>
            <w:r w:rsidRPr="004E5B4F">
              <w:rPr>
                <w:rFonts w:ascii="Arial" w:hAnsi="Arial" w:cs="Arial"/>
                <w:spacing w:val="-5"/>
                <w:sz w:val="24"/>
                <w:szCs w:val="24"/>
                <w:highlight w:val="cyan"/>
              </w:rPr>
              <w:t>c</w:t>
            </w:r>
            <w:r w:rsidRPr="004E5B4F">
              <w:rPr>
                <w:rFonts w:ascii="Arial" w:hAnsi="Arial" w:cs="Arial"/>
                <w:spacing w:val="-1"/>
                <w:sz w:val="24"/>
                <w:szCs w:val="24"/>
                <w:highlight w:val="cyan"/>
              </w:rPr>
              <w:t>ado</w:t>
            </w:r>
            <w:r w:rsidRPr="004E5B4F">
              <w:rPr>
                <w:rFonts w:ascii="Arial" w:hAnsi="Arial" w:cs="Arial"/>
                <w:sz w:val="24"/>
                <w:szCs w:val="24"/>
                <w:highlight w:val="cyan"/>
              </w:rPr>
              <w:t xml:space="preserve">s </w:t>
            </w:r>
            <w:r w:rsidRPr="004E5B4F">
              <w:rPr>
                <w:rFonts w:ascii="Arial" w:hAnsi="Arial" w:cs="Arial"/>
                <w:spacing w:val="-5"/>
                <w:sz w:val="24"/>
                <w:szCs w:val="24"/>
                <w:highlight w:val="cyan"/>
              </w:rPr>
              <w:t>e</w:t>
            </w:r>
            <w:r w:rsidRPr="004E5B4F">
              <w:rPr>
                <w:rFonts w:ascii="Arial" w:hAnsi="Arial" w:cs="Arial"/>
                <w:sz w:val="24"/>
                <w:szCs w:val="24"/>
                <w:highlight w:val="cyan"/>
              </w:rPr>
              <w:t>n</w:t>
            </w:r>
            <w:r w:rsidRPr="004E5B4F">
              <w:rPr>
                <w:rFonts w:ascii="Arial" w:hAnsi="Arial" w:cs="Arial"/>
                <w:spacing w:val="47"/>
                <w:sz w:val="24"/>
                <w:szCs w:val="24"/>
                <w:highlight w:val="cyan"/>
              </w:rPr>
              <w:t xml:space="preserve"> </w:t>
            </w:r>
            <w:r w:rsidRPr="004E5B4F">
              <w:rPr>
                <w:rFonts w:ascii="Arial" w:hAnsi="Arial" w:cs="Arial"/>
                <w:spacing w:val="3"/>
                <w:sz w:val="24"/>
                <w:szCs w:val="24"/>
                <w:highlight w:val="cyan"/>
              </w:rPr>
              <w:t>l</w:t>
            </w:r>
            <w:r w:rsidRPr="004E5B4F">
              <w:rPr>
                <w:rFonts w:ascii="Arial" w:hAnsi="Arial" w:cs="Arial"/>
                <w:sz w:val="24"/>
                <w:szCs w:val="24"/>
                <w:highlight w:val="cyan"/>
              </w:rPr>
              <w:t>a</w:t>
            </w:r>
            <w:r w:rsidRPr="004E5B4F">
              <w:rPr>
                <w:rFonts w:ascii="Arial" w:hAnsi="Arial" w:cs="Arial"/>
                <w:spacing w:val="46"/>
                <w:sz w:val="24"/>
                <w:szCs w:val="24"/>
                <w:highlight w:val="cyan"/>
              </w:rPr>
              <w:t xml:space="preserve"> </w:t>
            </w:r>
            <w:r w:rsidRPr="004E5B4F">
              <w:rPr>
                <w:rFonts w:ascii="Arial" w:hAnsi="Arial" w:cs="Arial"/>
                <w:spacing w:val="-5"/>
                <w:sz w:val="24"/>
                <w:szCs w:val="24"/>
                <w:highlight w:val="cyan"/>
              </w:rPr>
              <w:t>e</w:t>
            </w:r>
            <w:r w:rsidRPr="004E5B4F">
              <w:rPr>
                <w:rFonts w:ascii="Arial" w:hAnsi="Arial" w:cs="Arial"/>
                <w:sz w:val="24"/>
                <w:szCs w:val="24"/>
                <w:highlight w:val="cyan"/>
              </w:rPr>
              <w:t>s</w:t>
            </w:r>
            <w:r w:rsidRPr="004E5B4F">
              <w:rPr>
                <w:rFonts w:ascii="Arial" w:hAnsi="Arial" w:cs="Arial"/>
                <w:spacing w:val="-3"/>
                <w:sz w:val="24"/>
                <w:szCs w:val="24"/>
                <w:highlight w:val="cyan"/>
              </w:rPr>
              <w:t>t</w:t>
            </w:r>
            <w:r w:rsidRPr="004E5B4F">
              <w:rPr>
                <w:rFonts w:ascii="Arial" w:hAnsi="Arial" w:cs="Arial"/>
                <w:spacing w:val="1"/>
                <w:sz w:val="24"/>
                <w:szCs w:val="24"/>
                <w:highlight w:val="cyan"/>
              </w:rPr>
              <w:t>r</w:t>
            </w:r>
            <w:r w:rsidRPr="004E5B4F">
              <w:rPr>
                <w:rFonts w:ascii="Arial" w:hAnsi="Arial" w:cs="Arial"/>
                <w:spacing w:val="-1"/>
                <w:sz w:val="24"/>
                <w:szCs w:val="24"/>
                <w:highlight w:val="cyan"/>
              </w:rPr>
              <w:t>u</w:t>
            </w:r>
            <w:r w:rsidRPr="004E5B4F">
              <w:rPr>
                <w:rFonts w:ascii="Arial" w:hAnsi="Arial" w:cs="Arial"/>
                <w:spacing w:val="-5"/>
                <w:sz w:val="24"/>
                <w:szCs w:val="24"/>
                <w:highlight w:val="cyan"/>
              </w:rPr>
              <w:t>c</w:t>
            </w:r>
            <w:r w:rsidRPr="004E5B4F">
              <w:rPr>
                <w:rFonts w:ascii="Arial" w:hAnsi="Arial" w:cs="Arial"/>
                <w:spacing w:val="2"/>
                <w:sz w:val="24"/>
                <w:szCs w:val="24"/>
                <w:highlight w:val="cyan"/>
              </w:rPr>
              <w:t>t</w:t>
            </w:r>
            <w:r w:rsidRPr="004E5B4F">
              <w:rPr>
                <w:rFonts w:ascii="Arial" w:hAnsi="Arial" w:cs="Arial"/>
                <w:spacing w:val="-1"/>
                <w:sz w:val="24"/>
                <w:szCs w:val="24"/>
                <w:highlight w:val="cyan"/>
              </w:rPr>
              <w:t>u</w:t>
            </w:r>
            <w:r w:rsidRPr="004E5B4F">
              <w:rPr>
                <w:rFonts w:ascii="Arial" w:hAnsi="Arial" w:cs="Arial"/>
                <w:spacing w:val="1"/>
                <w:sz w:val="24"/>
                <w:szCs w:val="24"/>
                <w:highlight w:val="cyan"/>
              </w:rPr>
              <w:t>r</w:t>
            </w:r>
            <w:r w:rsidRPr="004E5B4F">
              <w:rPr>
                <w:rFonts w:ascii="Arial" w:hAnsi="Arial" w:cs="Arial"/>
                <w:sz w:val="24"/>
                <w:szCs w:val="24"/>
                <w:highlight w:val="cyan"/>
              </w:rPr>
              <w:t xml:space="preserve">a </w:t>
            </w:r>
            <w:r w:rsidRPr="004E5B4F">
              <w:rPr>
                <w:rFonts w:ascii="Arial" w:hAnsi="Arial" w:cs="Arial"/>
                <w:spacing w:val="-5"/>
                <w:sz w:val="24"/>
                <w:szCs w:val="24"/>
                <w:highlight w:val="cyan"/>
              </w:rPr>
              <w:t>e</w:t>
            </w:r>
            <w:r w:rsidRPr="004E5B4F">
              <w:rPr>
                <w:rFonts w:ascii="Arial" w:hAnsi="Arial" w:cs="Arial"/>
                <w:sz w:val="24"/>
                <w:szCs w:val="24"/>
                <w:highlight w:val="cyan"/>
              </w:rPr>
              <w:t>c</w:t>
            </w:r>
            <w:r w:rsidRPr="004E5B4F">
              <w:rPr>
                <w:rFonts w:ascii="Arial" w:hAnsi="Arial" w:cs="Arial"/>
                <w:spacing w:val="-5"/>
                <w:sz w:val="24"/>
                <w:szCs w:val="24"/>
                <w:highlight w:val="cyan"/>
              </w:rPr>
              <w:t>o</w:t>
            </w:r>
            <w:r w:rsidRPr="004E5B4F">
              <w:rPr>
                <w:rFonts w:ascii="Arial" w:hAnsi="Arial" w:cs="Arial"/>
                <w:spacing w:val="3"/>
                <w:sz w:val="24"/>
                <w:szCs w:val="24"/>
                <w:highlight w:val="cyan"/>
              </w:rPr>
              <w:t>l</w:t>
            </w:r>
            <w:r w:rsidRPr="004E5B4F">
              <w:rPr>
                <w:rFonts w:ascii="Arial" w:hAnsi="Arial" w:cs="Arial"/>
                <w:spacing w:val="-1"/>
                <w:sz w:val="24"/>
                <w:szCs w:val="24"/>
                <w:highlight w:val="cyan"/>
              </w:rPr>
              <w:t>ó</w:t>
            </w:r>
            <w:r w:rsidRPr="004E5B4F">
              <w:rPr>
                <w:rFonts w:ascii="Arial" w:hAnsi="Arial" w:cs="Arial"/>
                <w:spacing w:val="-5"/>
                <w:sz w:val="24"/>
                <w:szCs w:val="24"/>
                <w:highlight w:val="cyan"/>
              </w:rPr>
              <w:t>g</w:t>
            </w:r>
            <w:r w:rsidRPr="004E5B4F">
              <w:rPr>
                <w:rFonts w:ascii="Arial" w:hAnsi="Arial" w:cs="Arial"/>
                <w:spacing w:val="3"/>
                <w:sz w:val="24"/>
                <w:szCs w:val="24"/>
                <w:highlight w:val="cyan"/>
              </w:rPr>
              <w:t>i</w:t>
            </w:r>
            <w:r w:rsidRPr="004E5B4F">
              <w:rPr>
                <w:rFonts w:ascii="Arial" w:hAnsi="Arial" w:cs="Arial"/>
                <w:sz w:val="24"/>
                <w:szCs w:val="24"/>
                <w:highlight w:val="cyan"/>
              </w:rPr>
              <w:t xml:space="preserve">ca </w:t>
            </w:r>
            <w:r w:rsidRPr="004E5B4F">
              <w:rPr>
                <w:rFonts w:ascii="Arial" w:hAnsi="Arial" w:cs="Arial"/>
                <w:spacing w:val="-5"/>
                <w:sz w:val="24"/>
                <w:szCs w:val="24"/>
                <w:highlight w:val="cyan"/>
              </w:rPr>
              <w:t>p</w:t>
            </w:r>
            <w:r w:rsidRPr="004E5B4F">
              <w:rPr>
                <w:rFonts w:ascii="Arial" w:hAnsi="Arial" w:cs="Arial"/>
                <w:spacing w:val="1"/>
                <w:sz w:val="24"/>
                <w:szCs w:val="24"/>
                <w:highlight w:val="cyan"/>
              </w:rPr>
              <w:t>r</w:t>
            </w:r>
            <w:r w:rsidRPr="004E5B4F">
              <w:rPr>
                <w:rFonts w:ascii="Arial" w:hAnsi="Arial" w:cs="Arial"/>
                <w:spacing w:val="3"/>
                <w:sz w:val="24"/>
                <w:szCs w:val="24"/>
                <w:highlight w:val="cyan"/>
              </w:rPr>
              <w:t>i</w:t>
            </w:r>
            <w:r w:rsidRPr="004E5B4F">
              <w:rPr>
                <w:rFonts w:ascii="Arial" w:hAnsi="Arial" w:cs="Arial"/>
                <w:spacing w:val="-5"/>
                <w:sz w:val="24"/>
                <w:szCs w:val="24"/>
                <w:highlight w:val="cyan"/>
              </w:rPr>
              <w:t>n</w:t>
            </w:r>
            <w:r w:rsidRPr="004E5B4F">
              <w:rPr>
                <w:rFonts w:ascii="Arial" w:hAnsi="Arial" w:cs="Arial"/>
                <w:sz w:val="24"/>
                <w:szCs w:val="24"/>
                <w:highlight w:val="cyan"/>
              </w:rPr>
              <w:t>c</w:t>
            </w:r>
            <w:r w:rsidRPr="004E5B4F">
              <w:rPr>
                <w:rFonts w:ascii="Arial" w:hAnsi="Arial" w:cs="Arial"/>
                <w:spacing w:val="3"/>
                <w:sz w:val="24"/>
                <w:szCs w:val="24"/>
                <w:highlight w:val="cyan"/>
              </w:rPr>
              <w:t>i</w:t>
            </w:r>
            <w:r w:rsidRPr="004E5B4F">
              <w:rPr>
                <w:rFonts w:ascii="Arial" w:hAnsi="Arial" w:cs="Arial"/>
                <w:spacing w:val="-5"/>
                <w:sz w:val="24"/>
                <w:szCs w:val="24"/>
                <w:highlight w:val="cyan"/>
              </w:rPr>
              <w:t>p</w:t>
            </w:r>
            <w:r w:rsidRPr="004E5B4F">
              <w:rPr>
                <w:rFonts w:ascii="Arial" w:hAnsi="Arial" w:cs="Arial"/>
                <w:spacing w:val="-1"/>
                <w:sz w:val="24"/>
                <w:szCs w:val="24"/>
                <w:highlight w:val="cyan"/>
              </w:rPr>
              <w:t>a</w:t>
            </w:r>
            <w:r w:rsidRPr="004E5B4F">
              <w:rPr>
                <w:rFonts w:ascii="Arial" w:hAnsi="Arial" w:cs="Arial"/>
                <w:spacing w:val="-2"/>
                <w:sz w:val="24"/>
                <w:szCs w:val="24"/>
                <w:highlight w:val="cyan"/>
              </w:rPr>
              <w:t>l</w:t>
            </w:r>
            <w:r w:rsidRPr="004E5B4F">
              <w:rPr>
                <w:rFonts w:ascii="Arial" w:hAnsi="Arial" w:cs="Arial"/>
                <w:sz w:val="24"/>
                <w:szCs w:val="24"/>
                <w:highlight w:val="cyan"/>
              </w:rPr>
              <w:t xml:space="preserve">, </w:t>
            </w:r>
            <w:r w:rsidRPr="004E5B4F">
              <w:rPr>
                <w:rFonts w:ascii="Arial" w:hAnsi="Arial" w:cs="Arial"/>
                <w:spacing w:val="3"/>
                <w:sz w:val="24"/>
                <w:szCs w:val="24"/>
                <w:highlight w:val="cyan"/>
              </w:rPr>
              <w:t>l</w:t>
            </w:r>
            <w:r w:rsidRPr="004E5B4F">
              <w:rPr>
                <w:rFonts w:ascii="Arial" w:hAnsi="Arial" w:cs="Arial"/>
                <w:spacing w:val="-1"/>
                <w:sz w:val="24"/>
                <w:szCs w:val="24"/>
                <w:highlight w:val="cyan"/>
              </w:rPr>
              <w:t>o</w:t>
            </w:r>
            <w:r w:rsidRPr="004E5B4F">
              <w:rPr>
                <w:rFonts w:ascii="Arial" w:hAnsi="Arial" w:cs="Arial"/>
                <w:spacing w:val="2"/>
                <w:sz w:val="24"/>
                <w:szCs w:val="24"/>
                <w:highlight w:val="cyan"/>
              </w:rPr>
              <w:t>t</w:t>
            </w:r>
            <w:r w:rsidRPr="004E5B4F">
              <w:rPr>
                <w:rFonts w:ascii="Arial" w:hAnsi="Arial" w:cs="Arial"/>
                <w:spacing w:val="-5"/>
                <w:sz w:val="24"/>
                <w:szCs w:val="24"/>
                <w:highlight w:val="cyan"/>
              </w:rPr>
              <w:t>e</w:t>
            </w:r>
            <w:r w:rsidRPr="004E5B4F">
              <w:rPr>
                <w:rFonts w:ascii="Arial" w:hAnsi="Arial" w:cs="Arial"/>
                <w:sz w:val="24"/>
                <w:szCs w:val="24"/>
                <w:highlight w:val="cyan"/>
              </w:rPr>
              <w:t>s</w:t>
            </w:r>
            <w:r w:rsidRPr="004E5B4F">
              <w:rPr>
                <w:rFonts w:ascii="Arial" w:hAnsi="Arial" w:cs="Arial"/>
                <w:spacing w:val="49"/>
                <w:sz w:val="24"/>
                <w:szCs w:val="24"/>
                <w:highlight w:val="cyan"/>
              </w:rPr>
              <w:t xml:space="preserve"> </w:t>
            </w:r>
            <w:r w:rsidRPr="004E5B4F">
              <w:rPr>
                <w:rFonts w:ascii="Arial" w:hAnsi="Arial" w:cs="Arial"/>
                <w:spacing w:val="-5"/>
                <w:w w:val="101"/>
                <w:sz w:val="24"/>
                <w:szCs w:val="24"/>
                <w:highlight w:val="cyan"/>
              </w:rPr>
              <w:t>e</w:t>
            </w:r>
            <w:r w:rsidRPr="004E5B4F">
              <w:rPr>
                <w:rFonts w:ascii="Arial" w:hAnsi="Arial" w:cs="Arial"/>
                <w:w w:val="101"/>
                <w:sz w:val="24"/>
                <w:szCs w:val="24"/>
                <w:highlight w:val="cyan"/>
              </w:rPr>
              <w:t xml:space="preserve">n </w:t>
            </w:r>
            <w:r w:rsidRPr="004E5B4F">
              <w:rPr>
                <w:rFonts w:ascii="Arial" w:hAnsi="Arial" w:cs="Arial"/>
                <w:sz w:val="24"/>
                <w:szCs w:val="24"/>
                <w:highlight w:val="cyan"/>
              </w:rPr>
              <w:t>s</w:t>
            </w:r>
            <w:r w:rsidRPr="004E5B4F">
              <w:rPr>
                <w:rFonts w:ascii="Arial" w:hAnsi="Arial" w:cs="Arial"/>
                <w:spacing w:val="-1"/>
                <w:sz w:val="24"/>
                <w:szCs w:val="24"/>
                <w:highlight w:val="cyan"/>
              </w:rPr>
              <w:t>u</w:t>
            </w:r>
            <w:r w:rsidRPr="004E5B4F">
              <w:rPr>
                <w:rFonts w:ascii="Arial" w:hAnsi="Arial" w:cs="Arial"/>
                <w:spacing w:val="-5"/>
                <w:sz w:val="24"/>
                <w:szCs w:val="24"/>
                <w:highlight w:val="cyan"/>
              </w:rPr>
              <w:t>e</w:t>
            </w:r>
            <w:r w:rsidRPr="004E5B4F">
              <w:rPr>
                <w:rFonts w:ascii="Arial" w:hAnsi="Arial" w:cs="Arial"/>
                <w:spacing w:val="3"/>
                <w:sz w:val="24"/>
                <w:szCs w:val="24"/>
                <w:highlight w:val="cyan"/>
              </w:rPr>
              <w:t>l</w:t>
            </w:r>
            <w:r w:rsidRPr="004E5B4F">
              <w:rPr>
                <w:rFonts w:ascii="Arial" w:hAnsi="Arial" w:cs="Arial"/>
                <w:sz w:val="24"/>
                <w:szCs w:val="24"/>
                <w:highlight w:val="cyan"/>
              </w:rPr>
              <w:t>o</w:t>
            </w:r>
            <w:r w:rsidRPr="004E5B4F">
              <w:rPr>
                <w:rFonts w:ascii="Arial" w:hAnsi="Arial" w:cs="Arial"/>
                <w:spacing w:val="6"/>
                <w:sz w:val="24"/>
                <w:szCs w:val="24"/>
                <w:highlight w:val="cyan"/>
              </w:rPr>
              <w:t xml:space="preserve"> </w:t>
            </w:r>
            <w:r w:rsidRPr="004E5B4F">
              <w:rPr>
                <w:rFonts w:ascii="Arial" w:hAnsi="Arial" w:cs="Arial"/>
                <w:spacing w:val="-1"/>
                <w:sz w:val="24"/>
                <w:szCs w:val="24"/>
                <w:highlight w:val="cyan"/>
              </w:rPr>
              <w:t>d</w:t>
            </w:r>
            <w:r w:rsidRPr="004E5B4F">
              <w:rPr>
                <w:rFonts w:ascii="Arial" w:hAnsi="Arial" w:cs="Arial"/>
                <w:sz w:val="24"/>
                <w:szCs w:val="24"/>
                <w:highlight w:val="cyan"/>
              </w:rPr>
              <w:t>e</w:t>
            </w:r>
            <w:r w:rsidRPr="004E5B4F">
              <w:rPr>
                <w:rFonts w:ascii="Arial" w:hAnsi="Arial" w:cs="Arial"/>
                <w:spacing w:val="-1"/>
                <w:sz w:val="24"/>
                <w:szCs w:val="24"/>
                <w:highlight w:val="cyan"/>
              </w:rPr>
              <w:t xml:space="preserve"> </w:t>
            </w:r>
            <w:r w:rsidRPr="004E5B4F">
              <w:rPr>
                <w:rFonts w:ascii="Arial" w:hAnsi="Arial" w:cs="Arial"/>
                <w:spacing w:val="-5"/>
                <w:sz w:val="24"/>
                <w:szCs w:val="24"/>
                <w:highlight w:val="cyan"/>
              </w:rPr>
              <w:t>ex</w:t>
            </w:r>
            <w:r w:rsidRPr="004E5B4F">
              <w:rPr>
                <w:rFonts w:ascii="Arial" w:hAnsi="Arial" w:cs="Arial"/>
                <w:spacing w:val="-1"/>
                <w:sz w:val="24"/>
                <w:szCs w:val="24"/>
                <w:highlight w:val="cyan"/>
              </w:rPr>
              <w:t>pan</w:t>
            </w:r>
            <w:r w:rsidRPr="004E5B4F">
              <w:rPr>
                <w:rFonts w:ascii="Arial" w:hAnsi="Arial" w:cs="Arial"/>
                <w:sz w:val="24"/>
                <w:szCs w:val="24"/>
                <w:highlight w:val="cyan"/>
              </w:rPr>
              <w:t>s</w:t>
            </w:r>
            <w:r w:rsidRPr="004E5B4F">
              <w:rPr>
                <w:rFonts w:ascii="Arial" w:hAnsi="Arial" w:cs="Arial"/>
                <w:spacing w:val="3"/>
                <w:sz w:val="24"/>
                <w:szCs w:val="24"/>
                <w:highlight w:val="cyan"/>
              </w:rPr>
              <w:t>i</w:t>
            </w:r>
            <w:r w:rsidRPr="004E5B4F">
              <w:rPr>
                <w:rFonts w:ascii="Arial" w:hAnsi="Arial" w:cs="Arial"/>
                <w:spacing w:val="-1"/>
                <w:sz w:val="24"/>
                <w:szCs w:val="24"/>
                <w:highlight w:val="cyan"/>
              </w:rPr>
              <w:t>ó</w:t>
            </w:r>
            <w:r w:rsidRPr="004E5B4F">
              <w:rPr>
                <w:rFonts w:ascii="Arial" w:hAnsi="Arial" w:cs="Arial"/>
                <w:sz w:val="24"/>
                <w:szCs w:val="24"/>
                <w:highlight w:val="cyan"/>
              </w:rPr>
              <w:t>n</w:t>
            </w:r>
            <w:r w:rsidRPr="004E5B4F">
              <w:rPr>
                <w:rFonts w:ascii="Arial" w:hAnsi="Arial" w:cs="Arial"/>
                <w:spacing w:val="6"/>
                <w:sz w:val="24"/>
                <w:szCs w:val="24"/>
                <w:highlight w:val="cyan"/>
              </w:rPr>
              <w:t xml:space="preserve"> </w:t>
            </w:r>
            <w:r w:rsidRPr="004E5B4F">
              <w:rPr>
                <w:rFonts w:ascii="Arial" w:hAnsi="Arial" w:cs="Arial"/>
                <w:sz w:val="24"/>
                <w:szCs w:val="24"/>
                <w:highlight w:val="cyan"/>
              </w:rPr>
              <w:t>c</w:t>
            </w:r>
            <w:r w:rsidRPr="004E5B4F">
              <w:rPr>
                <w:rFonts w:ascii="Arial" w:hAnsi="Arial" w:cs="Arial"/>
                <w:spacing w:val="-1"/>
                <w:sz w:val="24"/>
                <w:szCs w:val="24"/>
                <w:highlight w:val="cyan"/>
              </w:rPr>
              <w:t>o</w:t>
            </w:r>
            <w:r w:rsidRPr="004E5B4F">
              <w:rPr>
                <w:rFonts w:ascii="Arial" w:hAnsi="Arial" w:cs="Arial"/>
                <w:sz w:val="24"/>
                <w:szCs w:val="24"/>
                <w:highlight w:val="cyan"/>
              </w:rPr>
              <w:t xml:space="preserve">n </w:t>
            </w:r>
            <w:r w:rsidRPr="004E5B4F">
              <w:rPr>
                <w:rFonts w:ascii="Arial" w:hAnsi="Arial" w:cs="Arial"/>
                <w:spacing w:val="-1"/>
                <w:sz w:val="24"/>
                <w:szCs w:val="24"/>
                <w:highlight w:val="cyan"/>
              </w:rPr>
              <w:t>p</w:t>
            </w:r>
            <w:r w:rsidRPr="004E5B4F">
              <w:rPr>
                <w:rFonts w:ascii="Arial" w:hAnsi="Arial" w:cs="Arial"/>
                <w:spacing w:val="-2"/>
                <w:sz w:val="24"/>
                <w:szCs w:val="24"/>
                <w:highlight w:val="cyan"/>
              </w:rPr>
              <w:t>l</w:t>
            </w:r>
            <w:r w:rsidRPr="004E5B4F">
              <w:rPr>
                <w:rFonts w:ascii="Arial" w:hAnsi="Arial" w:cs="Arial"/>
                <w:spacing w:val="-1"/>
                <w:sz w:val="24"/>
                <w:szCs w:val="24"/>
                <w:highlight w:val="cyan"/>
              </w:rPr>
              <w:t>a</w:t>
            </w:r>
            <w:r w:rsidRPr="004E5B4F">
              <w:rPr>
                <w:rFonts w:ascii="Arial" w:hAnsi="Arial" w:cs="Arial"/>
                <w:sz w:val="24"/>
                <w:szCs w:val="24"/>
                <w:highlight w:val="cyan"/>
              </w:rPr>
              <w:t>n</w:t>
            </w:r>
            <w:r w:rsidRPr="004E5B4F">
              <w:rPr>
                <w:rFonts w:ascii="Arial" w:hAnsi="Arial" w:cs="Arial"/>
                <w:spacing w:val="5"/>
                <w:sz w:val="24"/>
                <w:szCs w:val="24"/>
                <w:highlight w:val="cyan"/>
              </w:rPr>
              <w:t xml:space="preserve"> </w:t>
            </w:r>
            <w:r w:rsidRPr="004E5B4F">
              <w:rPr>
                <w:rFonts w:ascii="Arial" w:hAnsi="Arial" w:cs="Arial"/>
                <w:spacing w:val="-5"/>
                <w:sz w:val="24"/>
                <w:szCs w:val="24"/>
                <w:highlight w:val="cyan"/>
              </w:rPr>
              <w:t>p</w:t>
            </w:r>
            <w:r w:rsidRPr="004E5B4F">
              <w:rPr>
                <w:rFonts w:ascii="Arial" w:hAnsi="Arial" w:cs="Arial"/>
                <w:spacing w:val="-1"/>
                <w:sz w:val="24"/>
                <w:szCs w:val="24"/>
                <w:highlight w:val="cyan"/>
              </w:rPr>
              <w:t>a</w:t>
            </w:r>
            <w:r w:rsidRPr="004E5B4F">
              <w:rPr>
                <w:rFonts w:ascii="Arial" w:hAnsi="Arial" w:cs="Arial"/>
                <w:spacing w:val="1"/>
                <w:sz w:val="24"/>
                <w:szCs w:val="24"/>
                <w:highlight w:val="cyan"/>
              </w:rPr>
              <w:t>r</w:t>
            </w:r>
            <w:r w:rsidRPr="004E5B4F">
              <w:rPr>
                <w:rFonts w:ascii="Arial" w:hAnsi="Arial" w:cs="Arial"/>
                <w:spacing w:val="-5"/>
                <w:sz w:val="24"/>
                <w:szCs w:val="24"/>
                <w:highlight w:val="cyan"/>
              </w:rPr>
              <w:t>c</w:t>
            </w:r>
            <w:r w:rsidRPr="004E5B4F">
              <w:rPr>
                <w:rFonts w:ascii="Arial" w:hAnsi="Arial" w:cs="Arial"/>
                <w:spacing w:val="3"/>
                <w:sz w:val="24"/>
                <w:szCs w:val="24"/>
                <w:highlight w:val="cyan"/>
              </w:rPr>
              <w:t>i</w:t>
            </w:r>
            <w:r w:rsidRPr="004E5B4F">
              <w:rPr>
                <w:rFonts w:ascii="Arial" w:hAnsi="Arial" w:cs="Arial"/>
                <w:spacing w:val="-5"/>
                <w:sz w:val="24"/>
                <w:szCs w:val="24"/>
                <w:highlight w:val="cyan"/>
              </w:rPr>
              <w:t>a</w:t>
            </w:r>
            <w:r w:rsidRPr="004E5B4F">
              <w:rPr>
                <w:rFonts w:ascii="Arial" w:hAnsi="Arial" w:cs="Arial"/>
                <w:sz w:val="24"/>
                <w:szCs w:val="24"/>
                <w:highlight w:val="cyan"/>
              </w:rPr>
              <w:t>l</w:t>
            </w:r>
            <w:r w:rsidRPr="004E5B4F">
              <w:rPr>
                <w:rFonts w:ascii="Arial" w:hAnsi="Arial" w:cs="Arial"/>
                <w:spacing w:val="6"/>
                <w:sz w:val="24"/>
                <w:szCs w:val="24"/>
                <w:highlight w:val="cyan"/>
              </w:rPr>
              <w:t xml:space="preserve"> </w:t>
            </w:r>
            <w:r w:rsidRPr="004E5B4F">
              <w:rPr>
                <w:rFonts w:ascii="Arial" w:hAnsi="Arial" w:cs="Arial"/>
                <w:spacing w:val="-1"/>
                <w:w w:val="101"/>
                <w:sz w:val="24"/>
                <w:szCs w:val="24"/>
                <w:highlight w:val="cyan"/>
              </w:rPr>
              <w:t>ado</w:t>
            </w:r>
            <w:r w:rsidRPr="004E5B4F">
              <w:rPr>
                <w:rFonts w:ascii="Arial" w:hAnsi="Arial" w:cs="Arial"/>
                <w:spacing w:val="-5"/>
                <w:w w:val="101"/>
                <w:sz w:val="24"/>
                <w:szCs w:val="24"/>
                <w:highlight w:val="cyan"/>
              </w:rPr>
              <w:t>p</w:t>
            </w:r>
            <w:r w:rsidRPr="004E5B4F">
              <w:rPr>
                <w:rFonts w:ascii="Arial" w:hAnsi="Arial" w:cs="Arial"/>
                <w:spacing w:val="2"/>
                <w:w w:val="101"/>
                <w:sz w:val="24"/>
                <w:szCs w:val="24"/>
                <w:highlight w:val="cyan"/>
              </w:rPr>
              <w:t>t</w:t>
            </w:r>
            <w:r w:rsidRPr="004E5B4F">
              <w:rPr>
                <w:rFonts w:ascii="Arial" w:hAnsi="Arial" w:cs="Arial"/>
                <w:spacing w:val="-1"/>
                <w:w w:val="101"/>
                <w:sz w:val="24"/>
                <w:szCs w:val="24"/>
                <w:highlight w:val="cyan"/>
              </w:rPr>
              <w:t>ad</w:t>
            </w:r>
            <w:r w:rsidRPr="004E5B4F">
              <w:rPr>
                <w:rFonts w:ascii="Arial" w:hAnsi="Arial" w:cs="Arial"/>
                <w:w w:val="101"/>
                <w:sz w:val="24"/>
                <w:szCs w:val="24"/>
                <w:highlight w:val="cyan"/>
              </w:rPr>
              <w:t>o</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t>2</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INMUEBLES RURALES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Terrenos rurales con o sin construcciones, como viviendas, edificios, establos, galpones, cercas, sistemas de riego, drenaje, vías, adecuación de suelos, pozos, cultivos, plantaciones, lotes en suelo de expansión sin plan parcial adoptado, lotes para” el aprovechamiento agropecuario y demás infraestructura de explotación situados totalmente en áreas rurales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3</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RECURSOS NATURALES Y SUELOS DE PROTEC</w:t>
            </w:r>
            <w:r w:rsidR="00B52AA8" w:rsidRPr="004E5B4F">
              <w:rPr>
                <w:rFonts w:ascii="Arial" w:hAnsi="Arial" w:cs="Arial"/>
                <w:sz w:val="24"/>
                <w:highlight w:val="cyan"/>
              </w:rPr>
              <w:t>CIÓN</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cyan"/>
              </w:rPr>
              <w:t>Bienes Ambientales, minas, yacimientos y explotaciones minerales. Lotes incluidos en la estructura ecológica principal, lotes definidos o contemplados en el Código de Recursos Naturales Renovables y daños ambientales.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t>4</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OBRAS DE INFRAESTRUCTURA</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Estructuras especiales para proceso, puentes, túneles, acueductos y conducciones, presas, aeropuertos, muelles y demás construcciones civiles de infraestructura similar.</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5</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EDIFICACIONES DE CONSERVA</w:t>
            </w:r>
            <w:r w:rsidR="00B52AA8" w:rsidRPr="004E5B4F">
              <w:rPr>
                <w:rFonts w:ascii="Arial" w:hAnsi="Arial" w:cs="Arial"/>
                <w:sz w:val="24"/>
                <w:highlight w:val="cyan"/>
              </w:rPr>
              <w:t>CIÓN</w:t>
            </w:r>
            <w:r w:rsidRPr="004E5B4F">
              <w:rPr>
                <w:rFonts w:ascii="Arial" w:hAnsi="Arial" w:cs="Arial"/>
                <w:sz w:val="24"/>
                <w:highlight w:val="cyan"/>
              </w:rPr>
              <w:t xml:space="preserve"> ARQUEOLOGIA Y MONUMENTOS HISTORICOS</w:t>
            </w:r>
          </w:p>
        </w:tc>
        <w:tc>
          <w:tcPr>
            <w:tcW w:w="5528" w:type="dxa"/>
            <w:vAlign w:val="center"/>
          </w:tcPr>
          <w:p w:rsidR="00D66E05" w:rsidRPr="00475793" w:rsidRDefault="00D66E05" w:rsidP="00306F97">
            <w:pPr>
              <w:spacing w:before="120"/>
              <w:ind w:left="105" w:right="69"/>
              <w:jc w:val="both"/>
              <w:rPr>
                <w:rFonts w:ascii="Arial" w:hAnsi="Arial" w:cs="Arial"/>
                <w:spacing w:val="-2"/>
                <w:sz w:val="24"/>
                <w:szCs w:val="24"/>
              </w:rPr>
            </w:pPr>
            <w:r w:rsidRPr="004E5B4F">
              <w:rPr>
                <w:rFonts w:ascii="Arial" w:hAnsi="Arial" w:cs="Arial"/>
                <w:spacing w:val="-2"/>
                <w:sz w:val="24"/>
                <w:szCs w:val="24"/>
                <w:highlight w:val="cyan"/>
              </w:rPr>
              <w:t>Edificaciones de conservación arquitectónica y monumentos históricos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t>6</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INMUEBLES ESPECIALES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Incluye centros comerciales, hoteles, colegios, hospitales, clínicas y avance de obras. Incluye ¡ todos los inmuebles que no se clasifiquen dentro de los numerales anteriores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7</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MAQUINARIA FIJA, EQUIPOS Y MAQUINARIO MOVIL</w:t>
            </w:r>
          </w:p>
        </w:tc>
        <w:tc>
          <w:tcPr>
            <w:tcW w:w="5528" w:type="dxa"/>
            <w:vAlign w:val="center"/>
          </w:tcPr>
          <w:p w:rsidR="00D66E05" w:rsidRPr="004E5B4F" w:rsidRDefault="00D66E05" w:rsidP="00306F97">
            <w:pPr>
              <w:spacing w:before="120"/>
              <w:jc w:val="both"/>
              <w:rPr>
                <w:rFonts w:ascii="Arial" w:hAnsi="Arial" w:cs="Arial"/>
                <w:spacing w:val="-2"/>
                <w:sz w:val="24"/>
                <w:szCs w:val="24"/>
                <w:highlight w:val="cyan"/>
              </w:rPr>
            </w:pPr>
            <w:r w:rsidRPr="004E5B4F">
              <w:rPr>
                <w:rFonts w:ascii="Arial" w:hAnsi="Arial" w:cs="Arial"/>
                <w:spacing w:val="-2"/>
                <w:sz w:val="24"/>
                <w:szCs w:val="24"/>
                <w:highlight w:val="cyan"/>
              </w:rPr>
              <w:t xml:space="preserve">Equipos eléctricos y mecánicos de uso en la industria, motores, subestaciones de planta, tableros eléctricos, equipos de generación, subestaciones de transmisión y distribución, equipos e infraestructura de transmisión y </w:t>
            </w:r>
            <w:r w:rsidRPr="004E5B4F">
              <w:rPr>
                <w:rFonts w:ascii="Arial" w:hAnsi="Arial" w:cs="Arial"/>
                <w:spacing w:val="-2"/>
                <w:sz w:val="24"/>
                <w:szCs w:val="24"/>
                <w:highlight w:val="cyan"/>
              </w:rPr>
              <w:lastRenderedPageBreak/>
              <w:t>distribución, maquinaria de construcción, movimiento de tierra, y maquinaria para producción y proceso.</w:t>
            </w:r>
          </w:p>
          <w:p w:rsidR="00D66E05" w:rsidRPr="004E5B4F" w:rsidRDefault="00D66E05" w:rsidP="00306F97">
            <w:pPr>
              <w:spacing w:before="120"/>
              <w:jc w:val="both"/>
              <w:rPr>
                <w:rFonts w:ascii="Arial" w:hAnsi="Arial" w:cs="Arial"/>
                <w:spacing w:val="-2"/>
                <w:sz w:val="24"/>
                <w:szCs w:val="24"/>
                <w:highlight w:val="cyan"/>
              </w:rPr>
            </w:pPr>
            <w:r w:rsidRPr="004E5B4F">
              <w:rPr>
                <w:rFonts w:ascii="Arial" w:hAnsi="Arial" w:cs="Arial"/>
                <w:spacing w:val="-2"/>
                <w:sz w:val="24"/>
                <w:szCs w:val="24"/>
                <w:highlight w:val="cyan"/>
              </w:rPr>
              <w:t xml:space="preserve">Equipos de cómputo: Microcomputadores, impresoras, monitores, módems y otros accesorios de estos equipos, redes, main frames, periféricos especiales y otros equipos accesorios de </w:t>
            </w:r>
            <w:r w:rsidR="009B0F35" w:rsidRPr="004E5B4F">
              <w:rPr>
                <w:rFonts w:ascii="Arial" w:hAnsi="Arial" w:cs="Arial"/>
                <w:spacing w:val="-2"/>
                <w:sz w:val="24"/>
                <w:szCs w:val="24"/>
                <w:highlight w:val="cyan"/>
              </w:rPr>
              <w:t>“éstos</w:t>
            </w:r>
            <w:r w:rsidRPr="004E5B4F">
              <w:rPr>
                <w:rFonts w:ascii="Arial" w:hAnsi="Arial" w:cs="Arial"/>
                <w:spacing w:val="-2"/>
                <w:sz w:val="24"/>
                <w:szCs w:val="24"/>
                <w:highlight w:val="cyan"/>
              </w:rPr>
              <w:t>. Equipos de telefonía, electromedicina y radiocomunicación</w:t>
            </w:r>
          </w:p>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cyan"/>
              </w:rPr>
              <w:t>Transporte Automotor: Vehículos de transporte terrestre como automóviles, camperos, camiones, buses, tractores, camiones y remolques, motocicletas, motociclos, mototriciclos, cuatrimotos, bicicletas y similares.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lastRenderedPageBreak/>
              <w:t>8</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MAQUINARIA Y EQUIPOS ESPECIALES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Naves, aeronaves, trenes, locomotoras, vagones, teleféricos y cualquier medio de transporte diferente del automotor descrito en la clase anterior.</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9</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OBRAS DE ARTE, ORFEBRERIA, PATRIMONIALES Y SIMILARES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cyan"/>
              </w:rPr>
              <w:t>Arte, joyas, orfebrería, artesanías, muebles con valor histórico, cultural, arqueológico, paleontológico y similares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t>10</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SEMOVIEMTES Y ANIMALES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Semovientes, animales y muebles no clasificados en otra especialidad.</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11</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ACTIVOS OPERACIONALES Y ESTABLECIMIENTOS DE COMERCIO</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cyan"/>
              </w:rPr>
              <w:t>Revalorización de activos, inventarios, materia prima, producto en proceso y producto terminado. Establecimientos de comercio.</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green"/>
              </w:rPr>
            </w:pPr>
            <w:r w:rsidRPr="004E5B4F">
              <w:rPr>
                <w:rFonts w:ascii="Arial" w:hAnsi="Arial" w:cs="Arial"/>
                <w:sz w:val="24"/>
                <w:highlight w:val="green"/>
              </w:rPr>
              <w:t>12</w:t>
            </w:r>
          </w:p>
        </w:tc>
        <w:tc>
          <w:tcPr>
            <w:tcW w:w="2302" w:type="dxa"/>
            <w:vAlign w:val="center"/>
          </w:tcPr>
          <w:p w:rsidR="00D66E05" w:rsidRPr="004E5B4F" w:rsidRDefault="00D66E05" w:rsidP="00306F97">
            <w:pPr>
              <w:spacing w:before="120"/>
              <w:jc w:val="center"/>
              <w:rPr>
                <w:rFonts w:ascii="Arial" w:hAnsi="Arial" w:cs="Arial"/>
                <w:sz w:val="24"/>
                <w:highlight w:val="green"/>
              </w:rPr>
            </w:pPr>
            <w:r w:rsidRPr="004E5B4F">
              <w:rPr>
                <w:rFonts w:ascii="Arial" w:hAnsi="Arial" w:cs="Arial"/>
                <w:sz w:val="24"/>
                <w:highlight w:val="green"/>
              </w:rPr>
              <w:t>INTANGIBLES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green"/>
              </w:rPr>
              <w:t>Marcas, patentes, secretos empresariales, derechos autor, nombres comerciales, derechos deportivos, espectro radioeléctrico, fondo de comercio, prima comercial y otros similares</w:t>
            </w:r>
          </w:p>
        </w:tc>
      </w:tr>
      <w:tr w:rsidR="00D66E05" w:rsidRPr="00327869" w:rsidTr="00B27FD9">
        <w:trPr>
          <w:trHeight w:val="59"/>
        </w:trPr>
        <w:tc>
          <w:tcPr>
            <w:tcW w:w="675" w:type="dxa"/>
            <w:vAlign w:val="center"/>
          </w:tcPr>
          <w:p w:rsidR="00D66E05" w:rsidRPr="004E5B4F" w:rsidRDefault="00D66E05" w:rsidP="00306F97">
            <w:pPr>
              <w:jc w:val="center"/>
              <w:rPr>
                <w:rFonts w:ascii="Arial" w:hAnsi="Arial" w:cs="Arial"/>
                <w:sz w:val="24"/>
                <w:highlight w:val="cyan"/>
              </w:rPr>
            </w:pPr>
            <w:r w:rsidRPr="004E5B4F">
              <w:rPr>
                <w:rFonts w:ascii="Arial" w:hAnsi="Arial" w:cs="Arial"/>
                <w:sz w:val="24"/>
                <w:highlight w:val="cyan"/>
              </w:rPr>
              <w:t>13</w:t>
            </w:r>
          </w:p>
        </w:tc>
        <w:tc>
          <w:tcPr>
            <w:tcW w:w="2302" w:type="dxa"/>
            <w:vAlign w:val="center"/>
          </w:tcPr>
          <w:p w:rsidR="00D66E05" w:rsidRPr="004E5B4F" w:rsidRDefault="00D66E05" w:rsidP="00306F97">
            <w:pPr>
              <w:spacing w:before="120"/>
              <w:jc w:val="center"/>
              <w:rPr>
                <w:rFonts w:ascii="Arial" w:hAnsi="Arial" w:cs="Arial"/>
                <w:sz w:val="24"/>
                <w:highlight w:val="cyan"/>
              </w:rPr>
            </w:pPr>
            <w:r w:rsidRPr="004E5B4F">
              <w:rPr>
                <w:rFonts w:ascii="Arial" w:hAnsi="Arial" w:cs="Arial"/>
                <w:sz w:val="24"/>
                <w:highlight w:val="cyan"/>
              </w:rPr>
              <w:t>INTANGIBLES ESPECIALES</w:t>
            </w:r>
          </w:p>
        </w:tc>
        <w:tc>
          <w:tcPr>
            <w:tcW w:w="5528" w:type="dxa"/>
            <w:vAlign w:val="center"/>
          </w:tcPr>
          <w:p w:rsidR="00D66E05" w:rsidRPr="00475793" w:rsidRDefault="00D66E05" w:rsidP="00306F97">
            <w:pPr>
              <w:spacing w:before="120"/>
              <w:jc w:val="both"/>
              <w:rPr>
                <w:rFonts w:ascii="Arial" w:hAnsi="Arial" w:cs="Arial"/>
                <w:spacing w:val="-2"/>
                <w:sz w:val="24"/>
                <w:szCs w:val="24"/>
              </w:rPr>
            </w:pPr>
            <w:r w:rsidRPr="004E5B4F">
              <w:rPr>
                <w:rFonts w:ascii="Arial" w:hAnsi="Arial" w:cs="Arial"/>
                <w:spacing w:val="-2"/>
                <w:sz w:val="24"/>
                <w:szCs w:val="24"/>
                <w:highlight w:val="cyan"/>
              </w:rPr>
              <w:t>Daño emergente, lucro cesante, daño moral, servidumbres, derechos herencia les y litigiosos Y demás derechos de indemnización o cálculos compensatorios y cualquier otro derecho no contemplado en las clases anteriores.</w:t>
            </w:r>
          </w:p>
        </w:tc>
      </w:tr>
    </w:tbl>
    <w:p w:rsidR="0056363B" w:rsidRDefault="0056363B" w:rsidP="0056363B">
      <w:pPr>
        <w:pStyle w:val="Default"/>
        <w:spacing w:before="240" w:after="120"/>
        <w:ind w:left="720"/>
        <w:jc w:val="both"/>
        <w:rPr>
          <w:b/>
          <w:bCs/>
          <w:sz w:val="32"/>
          <w:szCs w:val="22"/>
        </w:rPr>
      </w:pPr>
    </w:p>
    <w:p w:rsidR="004A1973" w:rsidRPr="00CE023D" w:rsidRDefault="00327869" w:rsidP="00570925">
      <w:pPr>
        <w:pStyle w:val="Default"/>
        <w:numPr>
          <w:ilvl w:val="0"/>
          <w:numId w:val="3"/>
        </w:numPr>
        <w:spacing w:before="240" w:after="120"/>
        <w:ind w:hanging="578"/>
        <w:jc w:val="both"/>
        <w:rPr>
          <w:b/>
          <w:bCs/>
          <w:sz w:val="32"/>
          <w:szCs w:val="22"/>
        </w:rPr>
      </w:pPr>
      <w:r>
        <w:rPr>
          <w:b/>
          <w:bCs/>
          <w:sz w:val="32"/>
          <w:szCs w:val="22"/>
        </w:rPr>
        <w:lastRenderedPageBreak/>
        <w:t>PROPUESTA ECONOMICA:</w:t>
      </w:r>
    </w:p>
    <w:p w:rsidR="00165C3B" w:rsidRDefault="00BE275A" w:rsidP="004A1973">
      <w:pPr>
        <w:pStyle w:val="Default"/>
        <w:spacing w:after="100" w:afterAutospacing="1"/>
        <w:ind w:left="720"/>
        <w:jc w:val="both"/>
        <w:rPr>
          <w:rStyle w:val="apple-converted-space"/>
          <w:szCs w:val="20"/>
        </w:rPr>
      </w:pPr>
      <w:r w:rsidRPr="00CE023D">
        <w:rPr>
          <w:rStyle w:val="apple-converted-space"/>
          <w:szCs w:val="20"/>
        </w:rPr>
        <w:t xml:space="preserve">El valor de los Honorarios del Servicio de Avalúos </w:t>
      </w:r>
      <w:r w:rsidR="00165C3B">
        <w:rPr>
          <w:rStyle w:val="apple-converted-space"/>
          <w:szCs w:val="20"/>
        </w:rPr>
        <w:t>resulta de la suma del valor valuatorio de los bienes a valuar y que s</w:t>
      </w:r>
      <w:r w:rsidR="002943CA">
        <w:rPr>
          <w:rStyle w:val="apple-converted-space"/>
          <w:szCs w:val="20"/>
        </w:rPr>
        <w:t>e detalla en la siguiente tabla y tienen como base de cálculo la metodología exp</w:t>
      </w:r>
      <w:r w:rsidR="00B54F1A">
        <w:rPr>
          <w:rStyle w:val="apple-converted-space"/>
          <w:szCs w:val="20"/>
        </w:rPr>
        <w:t xml:space="preserve">uesta en el Decreto 466 de 2000 para avalúos urbano y rural, y al Acuerdo 1852 de 2003 de la Sala Administrativa del Consejo </w:t>
      </w:r>
      <w:r w:rsidR="00B27FD9">
        <w:rPr>
          <w:rStyle w:val="apple-converted-space"/>
          <w:szCs w:val="20"/>
        </w:rPr>
        <w:t>Superior de la J</w:t>
      </w:r>
      <w:r w:rsidR="00B54F1A">
        <w:rPr>
          <w:rStyle w:val="apple-converted-space"/>
          <w:szCs w:val="20"/>
        </w:rPr>
        <w:t>udicatura.</w:t>
      </w:r>
    </w:p>
    <w:p w:rsidR="00475793" w:rsidRDefault="00475793" w:rsidP="004A1973">
      <w:pPr>
        <w:pStyle w:val="Default"/>
        <w:spacing w:after="100" w:afterAutospacing="1"/>
        <w:ind w:left="720"/>
        <w:jc w:val="both"/>
        <w:rPr>
          <w:rStyle w:val="apple-converted-space"/>
          <w:szCs w:val="20"/>
        </w:rPr>
      </w:pPr>
    </w:p>
    <w:p w:rsidR="004A1973" w:rsidRPr="00CE023D" w:rsidRDefault="00DC520A" w:rsidP="00BE275A">
      <w:pPr>
        <w:pStyle w:val="Default"/>
        <w:numPr>
          <w:ilvl w:val="0"/>
          <w:numId w:val="6"/>
        </w:numPr>
        <w:spacing w:after="100" w:afterAutospacing="1"/>
        <w:jc w:val="both"/>
        <w:rPr>
          <w:b/>
          <w:szCs w:val="20"/>
        </w:rPr>
      </w:pPr>
      <w:r w:rsidRPr="00CE023D">
        <w:rPr>
          <w:b/>
          <w:szCs w:val="20"/>
        </w:rPr>
        <w:t>TARIFA POR INMUEBLE Y POR CADA INFORME VALUATORIO</w:t>
      </w:r>
    </w:p>
    <w:p w:rsidR="00E31E2F" w:rsidRPr="00CE023D" w:rsidRDefault="008D3D96" w:rsidP="00E31E2F">
      <w:pPr>
        <w:pStyle w:val="Prrafodelista"/>
        <w:autoSpaceDE w:val="0"/>
        <w:autoSpaceDN w:val="0"/>
        <w:adjustRightInd w:val="0"/>
        <w:jc w:val="center"/>
        <w:rPr>
          <w:rFonts w:ascii="Arial" w:hAnsi="Arial" w:cs="Arial"/>
          <w:b/>
          <w:sz w:val="24"/>
        </w:rPr>
      </w:pPr>
      <w:r w:rsidRPr="00CE023D">
        <w:rPr>
          <w:rFonts w:ascii="Arial" w:hAnsi="Arial" w:cs="Arial"/>
          <w:b/>
          <w:sz w:val="24"/>
        </w:rPr>
        <w:t>LIQUIDA</w:t>
      </w:r>
      <w:r w:rsidR="00B52AA8">
        <w:rPr>
          <w:rFonts w:ascii="Arial" w:hAnsi="Arial" w:cs="Arial"/>
          <w:b/>
          <w:sz w:val="24"/>
        </w:rPr>
        <w:t>CIÓN</w:t>
      </w:r>
      <w:r w:rsidRPr="00CE023D">
        <w:rPr>
          <w:rFonts w:ascii="Arial" w:hAnsi="Arial" w:cs="Arial"/>
          <w:b/>
          <w:sz w:val="24"/>
        </w:rPr>
        <w:t xml:space="preserve"> DE HONORARIOS POR SERVICIOS VALUATORIOS</w:t>
      </w:r>
    </w:p>
    <w:tbl>
      <w:tblPr>
        <w:tblStyle w:val="Tablaconcuadrcula"/>
        <w:tblW w:w="8602" w:type="dxa"/>
        <w:tblInd w:w="720" w:type="dxa"/>
        <w:shd w:val="clear" w:color="auto" w:fill="FFFF00"/>
        <w:tblLayout w:type="fixed"/>
        <w:tblLook w:val="04A0" w:firstRow="1" w:lastRow="0" w:firstColumn="1" w:lastColumn="0" w:noHBand="0" w:noVBand="1"/>
      </w:tblPr>
      <w:tblGrid>
        <w:gridCol w:w="551"/>
        <w:gridCol w:w="1106"/>
        <w:gridCol w:w="283"/>
        <w:gridCol w:w="1701"/>
        <w:gridCol w:w="1417"/>
        <w:gridCol w:w="993"/>
        <w:gridCol w:w="993"/>
        <w:gridCol w:w="11"/>
        <w:gridCol w:w="1547"/>
      </w:tblGrid>
      <w:tr w:rsidR="00F940B8" w:rsidRPr="00F940B8" w:rsidTr="00475793">
        <w:trPr>
          <w:tblHeader/>
        </w:trPr>
        <w:tc>
          <w:tcPr>
            <w:tcW w:w="551" w:type="dxa"/>
            <w:shd w:val="clear" w:color="auto" w:fill="FFFF00"/>
          </w:tcPr>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No</w:t>
            </w:r>
          </w:p>
        </w:tc>
        <w:tc>
          <w:tcPr>
            <w:tcW w:w="1389" w:type="dxa"/>
            <w:gridSpan w:val="2"/>
            <w:shd w:val="clear" w:color="auto" w:fill="FFFF00"/>
          </w:tcPr>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TIPO DE INMUEBLE</w:t>
            </w:r>
          </w:p>
        </w:tc>
        <w:tc>
          <w:tcPr>
            <w:tcW w:w="1701" w:type="dxa"/>
            <w:shd w:val="clear" w:color="auto" w:fill="FFFF00"/>
          </w:tcPr>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FOLIO MATRICULA INMOBILIARIA</w:t>
            </w:r>
          </w:p>
        </w:tc>
        <w:tc>
          <w:tcPr>
            <w:tcW w:w="1417" w:type="dxa"/>
            <w:shd w:val="clear" w:color="auto" w:fill="FFFF00"/>
          </w:tcPr>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MUNICIPIO</w:t>
            </w:r>
          </w:p>
        </w:tc>
        <w:tc>
          <w:tcPr>
            <w:tcW w:w="993" w:type="dxa"/>
            <w:shd w:val="clear" w:color="auto" w:fill="FFFF00"/>
          </w:tcPr>
          <w:p w:rsid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AREA LIBRE</w:t>
            </w:r>
          </w:p>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Pr>
                <w:rFonts w:ascii="Arial" w:hAnsi="Arial" w:cs="Arial"/>
                <w:b/>
                <w:sz w:val="20"/>
              </w:rPr>
              <w:t>m</w:t>
            </w:r>
            <w:r w:rsidRPr="00F940B8">
              <w:rPr>
                <w:rFonts w:ascii="Arial" w:hAnsi="Arial" w:cs="Arial"/>
                <w:b/>
                <w:sz w:val="20"/>
                <w:vertAlign w:val="superscript"/>
              </w:rPr>
              <w:t>2</w:t>
            </w:r>
          </w:p>
        </w:tc>
        <w:tc>
          <w:tcPr>
            <w:tcW w:w="1004" w:type="dxa"/>
            <w:gridSpan w:val="2"/>
            <w:shd w:val="clear" w:color="auto" w:fill="FFFF00"/>
          </w:tcPr>
          <w:p w:rsidR="00F940B8" w:rsidRDefault="00F940B8" w:rsidP="002071A0">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AREA CONS.</w:t>
            </w:r>
          </w:p>
          <w:p w:rsidR="00F940B8" w:rsidRPr="00F940B8" w:rsidRDefault="00F940B8" w:rsidP="002071A0">
            <w:pPr>
              <w:pStyle w:val="Prrafodelista"/>
              <w:autoSpaceDE w:val="0"/>
              <w:autoSpaceDN w:val="0"/>
              <w:adjustRightInd w:val="0"/>
              <w:spacing w:after="0"/>
              <w:ind w:left="0"/>
              <w:jc w:val="center"/>
              <w:rPr>
                <w:rFonts w:ascii="Arial" w:hAnsi="Arial" w:cs="Arial"/>
                <w:b/>
                <w:sz w:val="20"/>
              </w:rPr>
            </w:pPr>
            <w:r>
              <w:rPr>
                <w:rFonts w:ascii="Arial" w:hAnsi="Arial" w:cs="Arial"/>
                <w:b/>
                <w:sz w:val="20"/>
              </w:rPr>
              <w:t>m</w:t>
            </w:r>
            <w:r w:rsidRPr="00F940B8">
              <w:rPr>
                <w:rFonts w:ascii="Arial" w:hAnsi="Arial" w:cs="Arial"/>
                <w:b/>
                <w:sz w:val="20"/>
                <w:vertAlign w:val="superscript"/>
              </w:rPr>
              <w:t>2</w:t>
            </w:r>
          </w:p>
        </w:tc>
        <w:tc>
          <w:tcPr>
            <w:tcW w:w="1547" w:type="dxa"/>
            <w:shd w:val="clear" w:color="auto" w:fill="FFFF00"/>
          </w:tcPr>
          <w:p w:rsidR="00F940B8" w:rsidRPr="00F940B8" w:rsidRDefault="00F940B8" w:rsidP="00195621">
            <w:pPr>
              <w:pStyle w:val="Prrafodelista"/>
              <w:autoSpaceDE w:val="0"/>
              <w:autoSpaceDN w:val="0"/>
              <w:adjustRightInd w:val="0"/>
              <w:spacing w:after="0"/>
              <w:ind w:left="0"/>
              <w:jc w:val="center"/>
              <w:rPr>
                <w:rFonts w:ascii="Arial" w:hAnsi="Arial" w:cs="Arial"/>
                <w:b/>
                <w:sz w:val="20"/>
              </w:rPr>
            </w:pPr>
            <w:r w:rsidRPr="00F940B8">
              <w:rPr>
                <w:rFonts w:ascii="Arial" w:hAnsi="Arial" w:cs="Arial"/>
                <w:b/>
                <w:sz w:val="20"/>
              </w:rPr>
              <w:t>HONORARIO</w:t>
            </w:r>
          </w:p>
        </w:tc>
      </w:tr>
      <w:tr w:rsidR="00F940B8" w:rsidRPr="00F940B8" w:rsidTr="00475793">
        <w:tc>
          <w:tcPr>
            <w:tcW w:w="551"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hAnsi="Arial" w:cs="Arial"/>
                <w:b/>
                <w:sz w:val="20"/>
              </w:rPr>
            </w:pPr>
            <w:r w:rsidRPr="00F940B8">
              <w:rPr>
                <w:rFonts w:ascii="Arial" w:hAnsi="Arial" w:cs="Arial"/>
                <w:b/>
                <w:sz w:val="20"/>
              </w:rPr>
              <w:t>1</w:t>
            </w:r>
          </w:p>
        </w:tc>
        <w:tc>
          <w:tcPr>
            <w:tcW w:w="1389" w:type="dxa"/>
            <w:gridSpan w:val="2"/>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hAnsi="Arial" w:cs="Arial"/>
                <w:sz w:val="20"/>
              </w:rPr>
            </w:pPr>
          </w:p>
        </w:tc>
        <w:tc>
          <w:tcPr>
            <w:tcW w:w="1701"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hAnsi="Arial" w:cs="Arial"/>
                <w:b/>
                <w:sz w:val="20"/>
              </w:rPr>
            </w:pPr>
          </w:p>
        </w:tc>
        <w:tc>
          <w:tcPr>
            <w:tcW w:w="1417"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993"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004" w:type="dxa"/>
            <w:gridSpan w:val="2"/>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547"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r>
      <w:tr w:rsidR="00F940B8" w:rsidRPr="00F940B8" w:rsidTr="00475793">
        <w:tc>
          <w:tcPr>
            <w:tcW w:w="551"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hAnsi="Arial" w:cs="Arial"/>
                <w:b/>
                <w:sz w:val="20"/>
              </w:rPr>
            </w:pPr>
            <w:r w:rsidRPr="00F940B8">
              <w:rPr>
                <w:rFonts w:ascii="Arial" w:hAnsi="Arial" w:cs="Arial"/>
                <w:b/>
                <w:sz w:val="20"/>
              </w:rPr>
              <w:t>2</w:t>
            </w:r>
          </w:p>
        </w:tc>
        <w:tc>
          <w:tcPr>
            <w:tcW w:w="1389" w:type="dxa"/>
            <w:gridSpan w:val="2"/>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hAnsi="Arial" w:cs="Arial"/>
                <w:sz w:val="20"/>
              </w:rPr>
            </w:pPr>
          </w:p>
        </w:tc>
        <w:tc>
          <w:tcPr>
            <w:tcW w:w="1701"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417"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993"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004" w:type="dxa"/>
            <w:gridSpan w:val="2"/>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1547" w:type="dxa"/>
            <w:shd w:val="clear" w:color="auto" w:fill="FFFF00"/>
          </w:tcPr>
          <w:p w:rsidR="00F940B8" w:rsidRPr="00F940B8" w:rsidRDefault="00F940B8"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r>
      <w:tr w:rsidR="00D66E05" w:rsidRPr="00F940B8" w:rsidTr="00475793">
        <w:tc>
          <w:tcPr>
            <w:tcW w:w="6051" w:type="dxa"/>
            <w:gridSpan w:val="6"/>
            <w:shd w:val="clear" w:color="auto" w:fill="FFFF00"/>
          </w:tcPr>
          <w:p w:rsidR="00D66E05" w:rsidRPr="00F940B8" w:rsidRDefault="00D66E05"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c>
          <w:tcPr>
            <w:tcW w:w="993" w:type="dxa"/>
            <w:shd w:val="clear" w:color="auto" w:fill="FFFF00"/>
          </w:tcPr>
          <w:p w:rsidR="00D66E05" w:rsidRPr="00F940B8" w:rsidRDefault="00D66E05"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r w:rsidRPr="00F940B8">
              <w:rPr>
                <w:rFonts w:ascii="Arial" w:eastAsia="Times New Roman" w:hAnsi="Arial" w:cs="Arial"/>
                <w:color w:val="212121"/>
                <w:sz w:val="20"/>
                <w:szCs w:val="28"/>
                <w:lang w:eastAsia="es-ES"/>
              </w:rPr>
              <w:t>TOTAL</w:t>
            </w:r>
          </w:p>
        </w:tc>
        <w:tc>
          <w:tcPr>
            <w:tcW w:w="1558" w:type="dxa"/>
            <w:gridSpan w:val="2"/>
            <w:shd w:val="clear" w:color="auto" w:fill="FFFF00"/>
          </w:tcPr>
          <w:p w:rsidR="00D66E05" w:rsidRPr="00F940B8" w:rsidRDefault="00D66E05" w:rsidP="00195621">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p>
        </w:tc>
      </w:tr>
      <w:tr w:rsidR="00D66E05" w:rsidRPr="00F940B8" w:rsidTr="00475793">
        <w:tc>
          <w:tcPr>
            <w:tcW w:w="1657" w:type="dxa"/>
            <w:gridSpan w:val="2"/>
            <w:shd w:val="clear" w:color="auto" w:fill="FFFF00"/>
          </w:tcPr>
          <w:p w:rsidR="00D66E05" w:rsidRPr="00F940B8" w:rsidRDefault="00D66E05" w:rsidP="0000280B">
            <w:pPr>
              <w:pStyle w:val="Prrafodelista"/>
              <w:autoSpaceDE w:val="0"/>
              <w:autoSpaceDN w:val="0"/>
              <w:adjustRightInd w:val="0"/>
              <w:spacing w:after="100" w:afterAutospacing="1"/>
              <w:ind w:left="0"/>
              <w:jc w:val="center"/>
              <w:rPr>
                <w:rFonts w:ascii="Arial" w:eastAsia="Times New Roman" w:hAnsi="Arial" w:cs="Arial"/>
                <w:color w:val="212121"/>
                <w:sz w:val="20"/>
                <w:szCs w:val="28"/>
                <w:lang w:eastAsia="es-ES"/>
              </w:rPr>
            </w:pPr>
            <w:r w:rsidRPr="00F940B8">
              <w:rPr>
                <w:rFonts w:ascii="Arial" w:eastAsia="Times New Roman" w:hAnsi="Arial" w:cs="Arial"/>
                <w:color w:val="212121"/>
                <w:sz w:val="20"/>
                <w:szCs w:val="28"/>
                <w:lang w:eastAsia="es-ES"/>
              </w:rPr>
              <w:t>En Letras</w:t>
            </w:r>
          </w:p>
        </w:tc>
        <w:tc>
          <w:tcPr>
            <w:tcW w:w="6945" w:type="dxa"/>
            <w:gridSpan w:val="7"/>
            <w:shd w:val="clear" w:color="auto" w:fill="FFFF00"/>
          </w:tcPr>
          <w:p w:rsidR="00D66E05" w:rsidRPr="00F940B8" w:rsidRDefault="00D66E05" w:rsidP="00986F05">
            <w:pPr>
              <w:pStyle w:val="Prrafodelista"/>
              <w:autoSpaceDE w:val="0"/>
              <w:autoSpaceDN w:val="0"/>
              <w:adjustRightInd w:val="0"/>
              <w:spacing w:after="100" w:afterAutospacing="1"/>
              <w:ind w:left="0"/>
              <w:jc w:val="both"/>
              <w:rPr>
                <w:rFonts w:ascii="Arial" w:eastAsia="Times New Roman" w:hAnsi="Arial" w:cs="Arial"/>
                <w:color w:val="212121"/>
                <w:sz w:val="20"/>
                <w:szCs w:val="28"/>
                <w:lang w:eastAsia="es-ES"/>
              </w:rPr>
            </w:pPr>
          </w:p>
        </w:tc>
      </w:tr>
    </w:tbl>
    <w:p w:rsidR="00D82805" w:rsidRDefault="00D82805" w:rsidP="003F36EA">
      <w:pPr>
        <w:autoSpaceDE w:val="0"/>
        <w:autoSpaceDN w:val="0"/>
        <w:adjustRightInd w:val="0"/>
        <w:rPr>
          <w:rFonts w:ascii="Arial" w:hAnsi="Arial" w:cs="Arial"/>
          <w:b/>
          <w:sz w:val="18"/>
        </w:rPr>
      </w:pPr>
    </w:p>
    <w:p w:rsidR="00D82805" w:rsidRPr="00D82805" w:rsidRDefault="00D82805" w:rsidP="00D82805">
      <w:pPr>
        <w:pStyle w:val="Prrafodelista"/>
        <w:numPr>
          <w:ilvl w:val="0"/>
          <w:numId w:val="6"/>
        </w:numPr>
        <w:autoSpaceDE w:val="0"/>
        <w:autoSpaceDN w:val="0"/>
        <w:adjustRightInd w:val="0"/>
        <w:rPr>
          <w:rFonts w:ascii="Arial" w:hAnsi="Arial" w:cs="Arial"/>
          <w:b/>
          <w:sz w:val="28"/>
        </w:rPr>
      </w:pPr>
      <w:r w:rsidRPr="00D82805">
        <w:rPr>
          <w:rFonts w:ascii="Arial" w:hAnsi="Arial" w:cs="Arial"/>
          <w:b/>
          <w:sz w:val="28"/>
        </w:rPr>
        <w:t xml:space="preserve">TARIFA POR </w:t>
      </w:r>
      <w:r w:rsidR="00475793">
        <w:rPr>
          <w:rFonts w:ascii="Arial" w:hAnsi="Arial" w:cs="Arial"/>
          <w:b/>
          <w:sz w:val="28"/>
        </w:rPr>
        <w:t xml:space="preserve">CITACION A </w:t>
      </w:r>
      <w:r w:rsidRPr="00D82805">
        <w:rPr>
          <w:rFonts w:ascii="Arial" w:hAnsi="Arial" w:cs="Arial"/>
          <w:b/>
          <w:sz w:val="28"/>
        </w:rPr>
        <w:t>AUDIENCIA</w:t>
      </w:r>
    </w:p>
    <w:p w:rsidR="002071A0" w:rsidRPr="00D82805" w:rsidRDefault="00D82805" w:rsidP="00D82805">
      <w:pPr>
        <w:pStyle w:val="Prrafodelista"/>
        <w:numPr>
          <w:ilvl w:val="0"/>
          <w:numId w:val="21"/>
        </w:numPr>
        <w:autoSpaceDE w:val="0"/>
        <w:autoSpaceDN w:val="0"/>
        <w:adjustRightInd w:val="0"/>
        <w:rPr>
          <w:rFonts w:ascii="Arial" w:hAnsi="Arial" w:cs="Arial"/>
          <w:sz w:val="24"/>
        </w:rPr>
      </w:pPr>
      <w:r w:rsidRPr="00D82805">
        <w:rPr>
          <w:rFonts w:ascii="Arial" w:hAnsi="Arial" w:cs="Arial"/>
          <w:sz w:val="24"/>
        </w:rPr>
        <w:t xml:space="preserve">Tarifa máxima por día por asistencia a audiencia: </w:t>
      </w:r>
      <w:r w:rsidRPr="00D82805">
        <w:rPr>
          <w:rFonts w:ascii="Arial" w:hAnsi="Arial" w:cs="Arial"/>
          <w:sz w:val="24"/>
          <w:highlight w:val="yellow"/>
        </w:rPr>
        <w:t>Un (</w:t>
      </w:r>
      <w:r w:rsidRPr="00AB6B26">
        <w:rPr>
          <w:rFonts w:ascii="Arial" w:hAnsi="Arial" w:cs="Arial"/>
          <w:sz w:val="24"/>
          <w:highlight w:val="yellow"/>
        </w:rPr>
        <w:t>1) Salario Mínimo</w:t>
      </w:r>
      <w:r w:rsidRPr="00D82805">
        <w:rPr>
          <w:rFonts w:ascii="Arial" w:hAnsi="Arial" w:cs="Arial"/>
          <w:sz w:val="24"/>
        </w:rPr>
        <w:t xml:space="preserve"> Legal Vigente Mensual (SMLVM), </w:t>
      </w:r>
    </w:p>
    <w:p w:rsidR="00D82805" w:rsidRPr="00D82805" w:rsidRDefault="00D82805" w:rsidP="00D82805">
      <w:pPr>
        <w:pStyle w:val="Prrafodelista"/>
        <w:numPr>
          <w:ilvl w:val="0"/>
          <w:numId w:val="21"/>
        </w:numPr>
        <w:autoSpaceDE w:val="0"/>
        <w:autoSpaceDN w:val="0"/>
        <w:adjustRightInd w:val="0"/>
        <w:rPr>
          <w:rFonts w:ascii="Arial" w:hAnsi="Arial" w:cs="Arial"/>
          <w:sz w:val="24"/>
        </w:rPr>
      </w:pPr>
      <w:r w:rsidRPr="00D82805">
        <w:rPr>
          <w:rFonts w:ascii="Arial" w:hAnsi="Arial" w:cs="Arial"/>
          <w:sz w:val="24"/>
        </w:rPr>
        <w:t xml:space="preserve">Tarifa por Horas: </w:t>
      </w:r>
      <w:r w:rsidRPr="00D82805">
        <w:rPr>
          <w:rFonts w:ascii="Arial" w:hAnsi="Arial" w:cs="Arial"/>
          <w:sz w:val="24"/>
          <w:highlight w:val="yellow"/>
        </w:rPr>
        <w:t>20%</w:t>
      </w:r>
      <w:r w:rsidRPr="00D82805">
        <w:rPr>
          <w:rFonts w:ascii="Arial" w:hAnsi="Arial" w:cs="Arial"/>
          <w:sz w:val="24"/>
        </w:rPr>
        <w:t xml:space="preserve"> SMLVM</w:t>
      </w:r>
    </w:p>
    <w:p w:rsidR="00BE275A" w:rsidRDefault="00BE275A" w:rsidP="00BE275A">
      <w:pPr>
        <w:spacing w:line="240" w:lineRule="auto"/>
        <w:rPr>
          <w:rStyle w:val="apple-converted-space"/>
          <w:rFonts w:ascii="Arial" w:hAnsi="Arial" w:cs="Arial"/>
          <w:color w:val="444444"/>
          <w:sz w:val="28"/>
          <w:szCs w:val="23"/>
          <w:shd w:val="clear" w:color="auto" w:fill="FFFFFF"/>
        </w:rPr>
      </w:pPr>
      <w:r w:rsidRPr="00CE023D">
        <w:rPr>
          <w:rStyle w:val="apple-converted-space"/>
          <w:rFonts w:ascii="Arial" w:hAnsi="Arial" w:cs="Arial"/>
          <w:color w:val="444444"/>
          <w:sz w:val="28"/>
          <w:szCs w:val="23"/>
          <w:shd w:val="clear" w:color="auto" w:fill="FFFFFF"/>
        </w:rPr>
        <w:t xml:space="preserve">Cordialmente, </w:t>
      </w:r>
    </w:p>
    <w:p w:rsidR="00CC4864" w:rsidRPr="00CE023D" w:rsidRDefault="00CC4864" w:rsidP="00BE275A">
      <w:pPr>
        <w:spacing w:line="240" w:lineRule="auto"/>
        <w:rPr>
          <w:rStyle w:val="apple-converted-space"/>
          <w:rFonts w:ascii="Arial" w:hAnsi="Arial" w:cs="Arial"/>
          <w:color w:val="444444"/>
          <w:sz w:val="28"/>
          <w:szCs w:val="23"/>
          <w:shd w:val="clear" w:color="auto" w:fill="FFFFF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6806"/>
      </w:tblGrid>
      <w:tr w:rsidR="00F940B8" w:rsidRPr="00CE023D" w:rsidTr="00FC2DFE">
        <w:trPr>
          <w:trHeight w:val="255"/>
        </w:trPr>
        <w:tc>
          <w:tcPr>
            <w:tcW w:w="348" w:type="dxa"/>
          </w:tcPr>
          <w:p w:rsidR="00F940B8" w:rsidRPr="00CE023D" w:rsidRDefault="00F940B8" w:rsidP="00195621">
            <w:pPr>
              <w:autoSpaceDE w:val="0"/>
              <w:autoSpaceDN w:val="0"/>
              <w:adjustRightInd w:val="0"/>
              <w:jc w:val="both"/>
              <w:rPr>
                <w:rFonts w:ascii="Arial" w:hAnsi="Arial" w:cs="Arial"/>
                <w:b/>
              </w:rPr>
            </w:pPr>
          </w:p>
        </w:tc>
        <w:tc>
          <w:tcPr>
            <w:tcW w:w="6806" w:type="dxa"/>
            <w:tcBorders>
              <w:bottom w:val="single" w:sz="4" w:space="0" w:color="auto"/>
            </w:tcBorders>
          </w:tcPr>
          <w:p w:rsidR="00F940B8" w:rsidRPr="00CE023D" w:rsidRDefault="00F940B8" w:rsidP="00195621">
            <w:pPr>
              <w:autoSpaceDE w:val="0"/>
              <w:autoSpaceDN w:val="0"/>
              <w:adjustRightInd w:val="0"/>
              <w:jc w:val="both"/>
              <w:rPr>
                <w:rFonts w:ascii="Arial" w:hAnsi="Arial" w:cs="Arial"/>
                <w:b/>
              </w:rPr>
            </w:pPr>
          </w:p>
        </w:tc>
      </w:tr>
      <w:tr w:rsidR="00F940B8" w:rsidRPr="00CE023D" w:rsidTr="00FC2DFE">
        <w:trPr>
          <w:trHeight w:val="1095"/>
        </w:trPr>
        <w:tc>
          <w:tcPr>
            <w:tcW w:w="348" w:type="dxa"/>
          </w:tcPr>
          <w:p w:rsidR="00F940B8" w:rsidRPr="00FC2DFE" w:rsidRDefault="00F940B8" w:rsidP="00195621">
            <w:pPr>
              <w:autoSpaceDE w:val="0"/>
              <w:autoSpaceDN w:val="0"/>
              <w:adjustRightInd w:val="0"/>
              <w:jc w:val="both"/>
              <w:rPr>
                <w:rFonts w:ascii="Arial" w:hAnsi="Arial" w:cs="Arial"/>
                <w:color w:val="FFFFFF" w:themeColor="background1"/>
                <w:sz w:val="16"/>
                <w:highlight w:val="red"/>
              </w:rPr>
            </w:pPr>
          </w:p>
        </w:tc>
        <w:tc>
          <w:tcPr>
            <w:tcW w:w="6806" w:type="dxa"/>
            <w:tcBorders>
              <w:top w:val="single" w:sz="4" w:space="0" w:color="auto"/>
            </w:tcBorders>
          </w:tcPr>
          <w:p w:rsidR="00F940B8" w:rsidRPr="00FC2DFE" w:rsidRDefault="00FC2DFE" w:rsidP="00986F05">
            <w:pPr>
              <w:autoSpaceDE w:val="0"/>
              <w:autoSpaceDN w:val="0"/>
              <w:adjustRightInd w:val="0"/>
              <w:jc w:val="both"/>
              <w:rPr>
                <w:rFonts w:ascii="Arial" w:hAnsi="Arial" w:cs="Arial"/>
                <w:color w:val="FFFFFF" w:themeColor="background1"/>
                <w:sz w:val="16"/>
                <w:highlight w:val="red"/>
              </w:rPr>
            </w:pPr>
            <w:r w:rsidRPr="00FC2DFE">
              <w:rPr>
                <w:rFonts w:ascii="Arial" w:hAnsi="Arial" w:cs="Arial"/>
                <w:color w:val="FFFFFF" w:themeColor="background1"/>
                <w:sz w:val="16"/>
                <w:highlight w:val="red"/>
              </w:rPr>
              <w:t xml:space="preserve">Nombre del </w:t>
            </w:r>
            <w:proofErr w:type="spellStart"/>
            <w:r w:rsidRPr="00FC2DFE">
              <w:rPr>
                <w:rFonts w:ascii="Arial" w:hAnsi="Arial" w:cs="Arial"/>
                <w:color w:val="FFFFFF" w:themeColor="background1"/>
                <w:sz w:val="16"/>
                <w:highlight w:val="red"/>
              </w:rPr>
              <w:t>Avaluador</w:t>
            </w:r>
            <w:proofErr w:type="spellEnd"/>
            <w:r w:rsidRPr="00FC2DFE">
              <w:rPr>
                <w:rFonts w:ascii="Arial" w:hAnsi="Arial" w:cs="Arial"/>
                <w:color w:val="FFFFFF" w:themeColor="background1"/>
                <w:sz w:val="16"/>
                <w:highlight w:val="red"/>
              </w:rPr>
              <w:t xml:space="preserve"> configurado como usuario en el aplicativo</w:t>
            </w:r>
          </w:p>
          <w:p w:rsidR="00F940B8" w:rsidRPr="00FC2DFE" w:rsidRDefault="00F940B8" w:rsidP="00986F05">
            <w:pPr>
              <w:autoSpaceDE w:val="0"/>
              <w:autoSpaceDN w:val="0"/>
              <w:adjustRightInd w:val="0"/>
              <w:jc w:val="both"/>
              <w:rPr>
                <w:rFonts w:ascii="Arial" w:hAnsi="Arial" w:cs="Arial"/>
                <w:color w:val="FFFFFF" w:themeColor="background1"/>
                <w:sz w:val="16"/>
                <w:highlight w:val="red"/>
              </w:rPr>
            </w:pPr>
            <w:r w:rsidRPr="00FC2DFE">
              <w:rPr>
                <w:rFonts w:ascii="Arial" w:hAnsi="Arial" w:cs="Arial"/>
                <w:color w:val="FFFFFF" w:themeColor="background1"/>
                <w:sz w:val="16"/>
                <w:highlight w:val="red"/>
              </w:rPr>
              <w:t xml:space="preserve">CC: </w:t>
            </w:r>
            <w:r w:rsidR="00FC2DFE" w:rsidRPr="00FC2DFE">
              <w:rPr>
                <w:rFonts w:ascii="Arial" w:hAnsi="Arial" w:cs="Arial"/>
                <w:color w:val="FFFFFF" w:themeColor="background1"/>
                <w:sz w:val="16"/>
                <w:highlight w:val="red"/>
              </w:rPr>
              <w:t>9999999 de</w:t>
            </w:r>
          </w:p>
          <w:p w:rsidR="00F940B8" w:rsidRPr="00FC2DFE" w:rsidRDefault="00F940B8" w:rsidP="00986F05">
            <w:pPr>
              <w:autoSpaceDE w:val="0"/>
              <w:autoSpaceDN w:val="0"/>
              <w:adjustRightInd w:val="0"/>
              <w:jc w:val="both"/>
              <w:rPr>
                <w:rFonts w:ascii="Arial" w:hAnsi="Arial" w:cs="Arial"/>
                <w:color w:val="FFFFFF" w:themeColor="background1"/>
                <w:sz w:val="16"/>
                <w:highlight w:val="red"/>
              </w:rPr>
            </w:pPr>
            <w:r w:rsidRPr="00FC2DFE">
              <w:rPr>
                <w:rFonts w:ascii="Arial" w:hAnsi="Arial" w:cs="Arial"/>
                <w:color w:val="FFFFFF" w:themeColor="background1"/>
                <w:sz w:val="16"/>
                <w:highlight w:val="red"/>
              </w:rPr>
              <w:t>RAA AVAL-</w:t>
            </w:r>
            <w:r w:rsidR="00FC2DFE" w:rsidRPr="00FC2DFE">
              <w:rPr>
                <w:rFonts w:ascii="Arial" w:hAnsi="Arial" w:cs="Arial"/>
                <w:color w:val="FFFFFF" w:themeColor="background1"/>
                <w:sz w:val="16"/>
                <w:highlight w:val="red"/>
              </w:rPr>
              <w:t>99999999</w:t>
            </w:r>
            <w:r w:rsidRPr="00FC2DFE">
              <w:rPr>
                <w:rFonts w:ascii="Arial" w:hAnsi="Arial" w:cs="Arial"/>
                <w:color w:val="FFFFFF" w:themeColor="background1"/>
                <w:sz w:val="16"/>
                <w:highlight w:val="red"/>
              </w:rPr>
              <w:t xml:space="preserve"> según la </w:t>
            </w:r>
            <w:r w:rsidR="008849AE" w:rsidRPr="00FC2DFE">
              <w:rPr>
                <w:rFonts w:ascii="Arial" w:hAnsi="Arial" w:cs="Arial"/>
                <w:color w:val="FFFFFF" w:themeColor="background1"/>
                <w:sz w:val="16"/>
                <w:highlight w:val="red"/>
              </w:rPr>
              <w:t>LEY</w:t>
            </w:r>
            <w:r w:rsidRPr="00FC2DFE">
              <w:rPr>
                <w:rFonts w:ascii="Arial" w:hAnsi="Arial" w:cs="Arial"/>
                <w:color w:val="FFFFFF" w:themeColor="background1"/>
                <w:sz w:val="16"/>
                <w:highlight w:val="red"/>
              </w:rPr>
              <w:t xml:space="preserve"> 1673 DE 2013</w:t>
            </w:r>
          </w:p>
          <w:p w:rsidR="00F940B8" w:rsidRPr="00FC2DFE" w:rsidRDefault="00F940B8" w:rsidP="00986F05">
            <w:pPr>
              <w:autoSpaceDE w:val="0"/>
              <w:autoSpaceDN w:val="0"/>
              <w:adjustRightInd w:val="0"/>
              <w:jc w:val="both"/>
              <w:rPr>
                <w:rFonts w:ascii="Arial" w:hAnsi="Arial" w:cs="Arial"/>
                <w:color w:val="FFFFFF" w:themeColor="background1"/>
                <w:sz w:val="16"/>
                <w:highlight w:val="red"/>
              </w:rPr>
            </w:pPr>
            <w:r w:rsidRPr="00FC2DFE">
              <w:rPr>
                <w:rFonts w:ascii="Arial" w:hAnsi="Arial" w:cs="Arial"/>
                <w:color w:val="FFFFFF" w:themeColor="background1"/>
                <w:sz w:val="16"/>
                <w:highlight w:val="red"/>
              </w:rPr>
              <w:t xml:space="preserve">Avaluador profesional </w:t>
            </w:r>
          </w:p>
          <w:p w:rsidR="00F940B8" w:rsidRPr="00FC2DFE" w:rsidRDefault="00F940B8" w:rsidP="00FC2DFE">
            <w:pPr>
              <w:autoSpaceDE w:val="0"/>
              <w:autoSpaceDN w:val="0"/>
              <w:adjustRightInd w:val="0"/>
              <w:jc w:val="both"/>
              <w:rPr>
                <w:rFonts w:ascii="Arial" w:hAnsi="Arial" w:cs="Arial"/>
                <w:color w:val="FFFFFF" w:themeColor="background1"/>
                <w:sz w:val="16"/>
                <w:highlight w:val="red"/>
              </w:rPr>
            </w:pPr>
            <w:r w:rsidRPr="00FC2DFE">
              <w:rPr>
                <w:rFonts w:ascii="Arial" w:hAnsi="Arial" w:cs="Arial"/>
                <w:color w:val="FFFFFF" w:themeColor="background1"/>
                <w:sz w:val="16"/>
                <w:highlight w:val="red"/>
              </w:rPr>
              <w:t xml:space="preserve">Tarjeta Profesional: </w:t>
            </w:r>
            <w:r w:rsidR="00FC2DFE" w:rsidRPr="00FC2DFE">
              <w:rPr>
                <w:rFonts w:ascii="Arial" w:hAnsi="Arial" w:cs="Arial"/>
                <w:color w:val="FFFFFF" w:themeColor="background1"/>
                <w:sz w:val="16"/>
                <w:highlight w:val="red"/>
              </w:rPr>
              <w:t>99999</w:t>
            </w:r>
          </w:p>
        </w:tc>
      </w:tr>
    </w:tbl>
    <w:p w:rsidR="008075B4" w:rsidRDefault="008075B4" w:rsidP="0000280B">
      <w:pPr>
        <w:rPr>
          <w:rFonts w:ascii="Arial" w:hAnsi="Arial" w:cs="Arial"/>
          <w:b/>
          <w:sz w:val="24"/>
          <w:szCs w:val="20"/>
        </w:rPr>
      </w:pPr>
    </w:p>
    <w:p w:rsidR="007D3F8C" w:rsidRDefault="007D3F8C">
      <w:pPr>
        <w:rPr>
          <w:rFonts w:ascii="Arial" w:hAnsi="Arial" w:cs="Arial"/>
          <w:b/>
          <w:sz w:val="24"/>
          <w:szCs w:val="20"/>
        </w:rPr>
      </w:pPr>
      <w:r>
        <w:rPr>
          <w:rFonts w:ascii="Arial" w:hAnsi="Arial" w:cs="Arial"/>
          <w:b/>
          <w:sz w:val="24"/>
          <w:szCs w:val="20"/>
        </w:rPr>
        <w:br w:type="page"/>
      </w:r>
      <w:bookmarkStart w:id="4" w:name="_GoBack"/>
      <w:bookmarkEnd w:id="4"/>
    </w:p>
    <w:p w:rsidR="00784036" w:rsidRDefault="00784036" w:rsidP="0000280B">
      <w:pPr>
        <w:rPr>
          <w:rFonts w:ascii="Arial" w:hAnsi="Arial" w:cs="Arial"/>
          <w:b/>
          <w:sz w:val="24"/>
          <w:szCs w:val="20"/>
        </w:rPr>
      </w:pPr>
    </w:p>
    <w:p w:rsidR="0000280B" w:rsidRPr="00AB6B26" w:rsidRDefault="0000280B" w:rsidP="0000280B">
      <w:pPr>
        <w:rPr>
          <w:rFonts w:ascii="Arial" w:hAnsi="Arial" w:cs="Arial"/>
          <w:b/>
          <w:sz w:val="24"/>
          <w:szCs w:val="20"/>
          <w:highlight w:val="cyan"/>
        </w:rPr>
      </w:pPr>
      <w:r w:rsidRPr="00AB6B26">
        <w:rPr>
          <w:rFonts w:ascii="Arial" w:hAnsi="Arial" w:cs="Arial"/>
          <w:b/>
          <w:sz w:val="24"/>
          <w:szCs w:val="20"/>
          <w:highlight w:val="cyan"/>
        </w:rPr>
        <w:t>BIBLIOGRAFIA</w:t>
      </w:r>
    </w:p>
    <w:tbl>
      <w:tblPr>
        <w:tblStyle w:val="Tablaconcuadrcula"/>
        <w:tblW w:w="9606" w:type="dxa"/>
        <w:tblLook w:val="04A0" w:firstRow="1" w:lastRow="0" w:firstColumn="1" w:lastColumn="0" w:noHBand="0" w:noVBand="1"/>
      </w:tblPr>
      <w:tblGrid>
        <w:gridCol w:w="536"/>
        <w:gridCol w:w="4108"/>
        <w:gridCol w:w="284"/>
        <w:gridCol w:w="483"/>
        <w:gridCol w:w="4195"/>
      </w:tblGrid>
      <w:tr w:rsidR="008075B4" w:rsidRPr="00AB6B26" w:rsidTr="003941DA">
        <w:tc>
          <w:tcPr>
            <w:tcW w:w="536" w:type="dxa"/>
          </w:tcPr>
          <w:p w:rsidR="008075B4" w:rsidRPr="00AB6B26" w:rsidRDefault="003D5E3B" w:rsidP="003D5E3B">
            <w:pPr>
              <w:jc w:val="center"/>
              <w:rPr>
                <w:rFonts w:ascii="Arial" w:hAnsi="Arial" w:cs="Arial"/>
                <w:b/>
                <w:sz w:val="20"/>
                <w:szCs w:val="20"/>
                <w:highlight w:val="cyan"/>
              </w:rPr>
            </w:pPr>
            <w:r w:rsidRPr="00AB6B26">
              <w:rPr>
                <w:rFonts w:ascii="Arial" w:hAnsi="Arial" w:cs="Arial"/>
                <w:b/>
                <w:sz w:val="20"/>
                <w:szCs w:val="20"/>
                <w:highlight w:val="cyan"/>
              </w:rPr>
              <w:t>No</w:t>
            </w:r>
          </w:p>
        </w:tc>
        <w:tc>
          <w:tcPr>
            <w:tcW w:w="4108" w:type="dxa"/>
            <w:tcBorders>
              <w:right w:val="single" w:sz="4" w:space="0" w:color="auto"/>
            </w:tcBorders>
          </w:tcPr>
          <w:p w:rsidR="008075B4" w:rsidRPr="00AB6B26" w:rsidRDefault="00B67A8E" w:rsidP="003D5E3B">
            <w:pPr>
              <w:jc w:val="center"/>
              <w:rPr>
                <w:rFonts w:ascii="Arial" w:hAnsi="Arial" w:cs="Arial"/>
                <w:b/>
                <w:sz w:val="20"/>
                <w:szCs w:val="20"/>
                <w:highlight w:val="cyan"/>
              </w:rPr>
            </w:pPr>
            <w:r w:rsidRPr="00AB6B26">
              <w:rPr>
                <w:rFonts w:ascii="Arial" w:hAnsi="Arial" w:cs="Arial"/>
                <w:b/>
                <w:sz w:val="20"/>
                <w:szCs w:val="20"/>
                <w:highlight w:val="cyan"/>
              </w:rPr>
              <w:t>SOPORTE JURIDICO/</w:t>
            </w:r>
            <w:r w:rsidR="003D5E3B" w:rsidRPr="00AB6B26">
              <w:rPr>
                <w:rFonts w:ascii="Arial" w:hAnsi="Arial" w:cs="Arial"/>
                <w:b/>
                <w:sz w:val="20"/>
                <w:szCs w:val="20"/>
                <w:highlight w:val="cyan"/>
              </w:rPr>
              <w:t>NORMATIVIDAD</w:t>
            </w:r>
          </w:p>
        </w:tc>
        <w:tc>
          <w:tcPr>
            <w:tcW w:w="284" w:type="dxa"/>
            <w:tcBorders>
              <w:top w:val="nil"/>
              <w:left w:val="single" w:sz="4" w:space="0" w:color="auto"/>
              <w:bottom w:val="nil"/>
              <w:right w:val="single" w:sz="4" w:space="0" w:color="auto"/>
            </w:tcBorders>
          </w:tcPr>
          <w:p w:rsidR="008075B4" w:rsidRPr="00AB6B26" w:rsidRDefault="008075B4" w:rsidP="003D5E3B">
            <w:pPr>
              <w:jc w:val="center"/>
              <w:rPr>
                <w:rFonts w:ascii="Arial" w:hAnsi="Arial" w:cs="Arial"/>
                <w:b/>
                <w:sz w:val="20"/>
                <w:szCs w:val="20"/>
                <w:highlight w:val="cyan"/>
              </w:rPr>
            </w:pPr>
          </w:p>
        </w:tc>
        <w:tc>
          <w:tcPr>
            <w:tcW w:w="483" w:type="dxa"/>
            <w:tcBorders>
              <w:left w:val="single" w:sz="4" w:space="0" w:color="auto"/>
            </w:tcBorders>
          </w:tcPr>
          <w:p w:rsidR="008075B4" w:rsidRPr="00AB6B26" w:rsidRDefault="003D5E3B" w:rsidP="003D5E3B">
            <w:pPr>
              <w:jc w:val="center"/>
              <w:rPr>
                <w:rFonts w:ascii="Arial" w:hAnsi="Arial" w:cs="Arial"/>
                <w:b/>
                <w:sz w:val="20"/>
                <w:szCs w:val="20"/>
                <w:highlight w:val="cyan"/>
              </w:rPr>
            </w:pPr>
            <w:r w:rsidRPr="00AB6B26">
              <w:rPr>
                <w:rFonts w:ascii="Arial" w:hAnsi="Arial" w:cs="Arial"/>
                <w:b/>
                <w:sz w:val="20"/>
                <w:szCs w:val="20"/>
                <w:highlight w:val="cyan"/>
              </w:rPr>
              <w:t>No</w:t>
            </w:r>
          </w:p>
        </w:tc>
        <w:tc>
          <w:tcPr>
            <w:tcW w:w="4195" w:type="dxa"/>
          </w:tcPr>
          <w:p w:rsidR="008075B4" w:rsidRPr="00AB6B26" w:rsidRDefault="00B67A8E" w:rsidP="003D5E3B">
            <w:pPr>
              <w:jc w:val="center"/>
              <w:rPr>
                <w:rFonts w:ascii="Arial" w:hAnsi="Arial" w:cs="Arial"/>
                <w:b/>
                <w:sz w:val="20"/>
                <w:szCs w:val="20"/>
                <w:highlight w:val="cyan"/>
              </w:rPr>
            </w:pPr>
            <w:r w:rsidRPr="00AB6B26">
              <w:rPr>
                <w:rFonts w:ascii="Arial" w:hAnsi="Arial" w:cs="Arial"/>
                <w:b/>
                <w:sz w:val="20"/>
                <w:szCs w:val="20"/>
                <w:highlight w:val="cyan"/>
              </w:rPr>
              <w:t>SOPORTE JURIDICO/NORMATIVIDAD</w:t>
            </w:r>
          </w:p>
        </w:tc>
      </w:tr>
      <w:tr w:rsidR="008075B4" w:rsidRPr="00AB6B26" w:rsidTr="003941DA">
        <w:tc>
          <w:tcPr>
            <w:tcW w:w="536" w:type="dxa"/>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1</w:t>
            </w:r>
          </w:p>
        </w:tc>
        <w:tc>
          <w:tcPr>
            <w:tcW w:w="4108" w:type="dxa"/>
            <w:tcBorders>
              <w:right w:val="single" w:sz="4" w:space="0" w:color="auto"/>
            </w:tcBorders>
          </w:tcPr>
          <w:p w:rsidR="008075B4" w:rsidRPr="00AB6B26" w:rsidRDefault="008075B4" w:rsidP="008075B4">
            <w:pPr>
              <w:rPr>
                <w:rFonts w:ascii="Arial" w:hAnsi="Arial" w:cs="Arial"/>
                <w:sz w:val="20"/>
                <w:szCs w:val="24"/>
                <w:highlight w:val="cyan"/>
              </w:rPr>
            </w:pPr>
            <w:r w:rsidRPr="00AB6B26">
              <w:rPr>
                <w:rFonts w:ascii="Arial" w:hAnsi="Arial" w:cs="Arial"/>
                <w:sz w:val="20"/>
                <w:szCs w:val="24"/>
                <w:highlight w:val="cyan"/>
              </w:rPr>
              <w:t>Ley 400 de 1997</w:t>
            </w:r>
            <w:r w:rsidR="00905875" w:rsidRPr="00AB6B26">
              <w:rPr>
                <w:rFonts w:ascii="Arial" w:hAnsi="Arial" w:cs="Arial"/>
                <w:sz w:val="20"/>
                <w:szCs w:val="24"/>
                <w:highlight w:val="cyan"/>
              </w:rPr>
              <w:t>, Ley Sismo Resistente</w:t>
            </w:r>
          </w:p>
        </w:tc>
        <w:tc>
          <w:tcPr>
            <w:tcW w:w="284" w:type="dxa"/>
            <w:tcBorders>
              <w:top w:val="nil"/>
              <w:left w:val="single" w:sz="4" w:space="0" w:color="auto"/>
              <w:bottom w:val="nil"/>
              <w:right w:val="single" w:sz="4" w:space="0" w:color="auto"/>
            </w:tcBorders>
          </w:tcPr>
          <w:p w:rsidR="008075B4" w:rsidRPr="00AB6B26" w:rsidRDefault="008075B4" w:rsidP="0000280B">
            <w:pPr>
              <w:rPr>
                <w:rFonts w:ascii="Arial" w:hAnsi="Arial" w:cs="Arial"/>
                <w:b/>
                <w:sz w:val="20"/>
                <w:szCs w:val="20"/>
                <w:highlight w:val="cyan"/>
              </w:rPr>
            </w:pPr>
          </w:p>
        </w:tc>
        <w:tc>
          <w:tcPr>
            <w:tcW w:w="483" w:type="dxa"/>
            <w:tcBorders>
              <w:left w:val="single" w:sz="4" w:space="0" w:color="auto"/>
            </w:tcBorders>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2</w:t>
            </w:r>
          </w:p>
        </w:tc>
        <w:tc>
          <w:tcPr>
            <w:tcW w:w="4195" w:type="dxa"/>
          </w:tcPr>
          <w:p w:rsidR="008075B4" w:rsidRPr="00AB6B26" w:rsidRDefault="008075B4" w:rsidP="003D5E3B">
            <w:pPr>
              <w:rPr>
                <w:rFonts w:ascii="Arial" w:hAnsi="Arial" w:cs="Arial"/>
                <w:sz w:val="20"/>
                <w:szCs w:val="24"/>
                <w:highlight w:val="cyan"/>
              </w:rPr>
            </w:pPr>
            <w:r w:rsidRPr="00AB6B26">
              <w:rPr>
                <w:rFonts w:ascii="Arial" w:hAnsi="Arial" w:cs="Arial"/>
                <w:sz w:val="20"/>
                <w:szCs w:val="24"/>
                <w:highlight w:val="cyan"/>
              </w:rPr>
              <w:t>Ley 550 de 1999</w:t>
            </w:r>
          </w:p>
        </w:tc>
      </w:tr>
      <w:tr w:rsidR="008075B4" w:rsidRPr="00AB6B26" w:rsidTr="003941DA">
        <w:tc>
          <w:tcPr>
            <w:tcW w:w="536" w:type="dxa"/>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3</w:t>
            </w:r>
          </w:p>
        </w:tc>
        <w:tc>
          <w:tcPr>
            <w:tcW w:w="4108" w:type="dxa"/>
            <w:tcBorders>
              <w:right w:val="single" w:sz="4" w:space="0" w:color="auto"/>
            </w:tcBorders>
          </w:tcPr>
          <w:p w:rsidR="008075B4" w:rsidRPr="00AB6B26" w:rsidRDefault="008075B4" w:rsidP="008075B4">
            <w:pPr>
              <w:rPr>
                <w:rFonts w:ascii="Arial" w:hAnsi="Arial" w:cs="Arial"/>
                <w:sz w:val="20"/>
                <w:szCs w:val="24"/>
                <w:highlight w:val="cyan"/>
              </w:rPr>
            </w:pPr>
            <w:r w:rsidRPr="00AB6B26">
              <w:rPr>
                <w:rFonts w:ascii="Arial" w:hAnsi="Arial" w:cs="Arial"/>
                <w:sz w:val="20"/>
                <w:szCs w:val="24"/>
                <w:highlight w:val="cyan"/>
              </w:rPr>
              <w:t>Ley 1231 de 2008</w:t>
            </w:r>
          </w:p>
        </w:tc>
        <w:tc>
          <w:tcPr>
            <w:tcW w:w="284" w:type="dxa"/>
            <w:tcBorders>
              <w:top w:val="nil"/>
              <w:left w:val="single" w:sz="4" w:space="0" w:color="auto"/>
              <w:bottom w:val="nil"/>
              <w:right w:val="single" w:sz="4" w:space="0" w:color="auto"/>
            </w:tcBorders>
          </w:tcPr>
          <w:p w:rsidR="008075B4" w:rsidRPr="00AB6B26" w:rsidRDefault="008075B4" w:rsidP="0000280B">
            <w:pPr>
              <w:rPr>
                <w:rFonts w:ascii="Arial" w:hAnsi="Arial" w:cs="Arial"/>
                <w:b/>
                <w:sz w:val="20"/>
                <w:szCs w:val="20"/>
                <w:highlight w:val="cyan"/>
              </w:rPr>
            </w:pPr>
          </w:p>
        </w:tc>
        <w:tc>
          <w:tcPr>
            <w:tcW w:w="483" w:type="dxa"/>
            <w:tcBorders>
              <w:left w:val="single" w:sz="4" w:space="0" w:color="auto"/>
            </w:tcBorders>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4</w:t>
            </w:r>
          </w:p>
        </w:tc>
        <w:tc>
          <w:tcPr>
            <w:tcW w:w="4195" w:type="dxa"/>
          </w:tcPr>
          <w:p w:rsidR="008075B4" w:rsidRPr="00AB6B26" w:rsidRDefault="008075B4" w:rsidP="003D5E3B">
            <w:pPr>
              <w:rPr>
                <w:rFonts w:ascii="Arial" w:hAnsi="Arial" w:cs="Arial"/>
                <w:sz w:val="20"/>
                <w:szCs w:val="24"/>
                <w:highlight w:val="cyan"/>
              </w:rPr>
            </w:pPr>
            <w:r w:rsidRPr="00AB6B26">
              <w:rPr>
                <w:rFonts w:ascii="Arial" w:hAnsi="Arial" w:cs="Arial"/>
                <w:sz w:val="20"/>
                <w:szCs w:val="24"/>
                <w:highlight w:val="cyan"/>
              </w:rPr>
              <w:t>Ley 1673 de 2013</w:t>
            </w:r>
            <w:r w:rsidR="00905875" w:rsidRPr="00AB6B26">
              <w:rPr>
                <w:rFonts w:ascii="Arial" w:hAnsi="Arial" w:cs="Arial"/>
                <w:sz w:val="20"/>
                <w:szCs w:val="24"/>
                <w:highlight w:val="cyan"/>
              </w:rPr>
              <w:t xml:space="preserve"> Ley Avaluador</w:t>
            </w:r>
          </w:p>
        </w:tc>
      </w:tr>
      <w:tr w:rsidR="008075B4" w:rsidRPr="00AB6B26" w:rsidTr="003941DA">
        <w:tc>
          <w:tcPr>
            <w:tcW w:w="536" w:type="dxa"/>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5</w:t>
            </w:r>
          </w:p>
        </w:tc>
        <w:tc>
          <w:tcPr>
            <w:tcW w:w="4108" w:type="dxa"/>
            <w:tcBorders>
              <w:right w:val="single" w:sz="4" w:space="0" w:color="auto"/>
            </w:tcBorders>
          </w:tcPr>
          <w:p w:rsidR="008075B4" w:rsidRPr="00AB6B26" w:rsidRDefault="008075B4" w:rsidP="008075B4">
            <w:pPr>
              <w:rPr>
                <w:rFonts w:ascii="Arial" w:hAnsi="Arial" w:cs="Arial"/>
                <w:sz w:val="20"/>
                <w:szCs w:val="24"/>
                <w:highlight w:val="cyan"/>
              </w:rPr>
            </w:pPr>
            <w:r w:rsidRPr="00AB6B26">
              <w:rPr>
                <w:rFonts w:ascii="Arial" w:hAnsi="Arial" w:cs="Arial"/>
                <w:sz w:val="20"/>
                <w:szCs w:val="24"/>
                <w:highlight w:val="cyan"/>
              </w:rPr>
              <w:t>Decreto 1420 de 1998</w:t>
            </w:r>
            <w:r w:rsidR="00905875" w:rsidRPr="00AB6B26">
              <w:rPr>
                <w:rFonts w:ascii="Arial" w:hAnsi="Arial" w:cs="Arial"/>
                <w:sz w:val="20"/>
                <w:szCs w:val="24"/>
                <w:highlight w:val="cyan"/>
              </w:rPr>
              <w:t xml:space="preserve">, </w:t>
            </w:r>
          </w:p>
        </w:tc>
        <w:tc>
          <w:tcPr>
            <w:tcW w:w="284" w:type="dxa"/>
            <w:tcBorders>
              <w:top w:val="nil"/>
              <w:left w:val="single" w:sz="4" w:space="0" w:color="auto"/>
              <w:bottom w:val="nil"/>
              <w:right w:val="single" w:sz="4" w:space="0" w:color="auto"/>
            </w:tcBorders>
          </w:tcPr>
          <w:p w:rsidR="008075B4" w:rsidRPr="00AB6B26" w:rsidRDefault="008075B4" w:rsidP="0000280B">
            <w:pPr>
              <w:rPr>
                <w:rFonts w:ascii="Arial" w:hAnsi="Arial" w:cs="Arial"/>
                <w:b/>
                <w:sz w:val="20"/>
                <w:szCs w:val="20"/>
                <w:highlight w:val="cyan"/>
              </w:rPr>
            </w:pPr>
          </w:p>
        </w:tc>
        <w:tc>
          <w:tcPr>
            <w:tcW w:w="483" w:type="dxa"/>
            <w:tcBorders>
              <w:left w:val="single" w:sz="4" w:space="0" w:color="auto"/>
            </w:tcBorders>
          </w:tcPr>
          <w:p w:rsidR="008075B4"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6</w:t>
            </w:r>
          </w:p>
        </w:tc>
        <w:tc>
          <w:tcPr>
            <w:tcW w:w="4195" w:type="dxa"/>
          </w:tcPr>
          <w:p w:rsidR="008075B4" w:rsidRPr="00AB6B26" w:rsidRDefault="003D5E3B" w:rsidP="003D5E3B">
            <w:pPr>
              <w:rPr>
                <w:rFonts w:ascii="Arial" w:hAnsi="Arial" w:cs="Arial"/>
                <w:sz w:val="20"/>
                <w:szCs w:val="24"/>
                <w:highlight w:val="cyan"/>
              </w:rPr>
            </w:pPr>
            <w:r w:rsidRPr="00AB6B26">
              <w:rPr>
                <w:rFonts w:ascii="Arial" w:hAnsi="Arial" w:cs="Arial"/>
                <w:sz w:val="20"/>
                <w:szCs w:val="24"/>
                <w:highlight w:val="cyan"/>
              </w:rPr>
              <w:t>Decreto 510 de 1999</w:t>
            </w:r>
          </w:p>
        </w:tc>
      </w:tr>
      <w:tr w:rsidR="003D5E3B" w:rsidRPr="00AB6B26" w:rsidTr="003941DA">
        <w:tc>
          <w:tcPr>
            <w:tcW w:w="536" w:type="dxa"/>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7</w:t>
            </w:r>
          </w:p>
        </w:tc>
        <w:tc>
          <w:tcPr>
            <w:tcW w:w="4108" w:type="dxa"/>
            <w:tcBorders>
              <w:right w:val="single" w:sz="4" w:space="0" w:color="auto"/>
            </w:tcBorders>
          </w:tcPr>
          <w:p w:rsidR="003D5E3B" w:rsidRPr="00AB6B26" w:rsidRDefault="003D5E3B" w:rsidP="008075B4">
            <w:pPr>
              <w:rPr>
                <w:rFonts w:ascii="Arial" w:hAnsi="Arial" w:cs="Arial"/>
                <w:sz w:val="20"/>
                <w:szCs w:val="24"/>
                <w:highlight w:val="cyan"/>
              </w:rPr>
            </w:pPr>
            <w:r w:rsidRPr="00AB6B26">
              <w:rPr>
                <w:rFonts w:ascii="Arial" w:hAnsi="Arial" w:cs="Arial"/>
                <w:sz w:val="20"/>
                <w:szCs w:val="24"/>
                <w:highlight w:val="cyan"/>
              </w:rPr>
              <w:t>Decreto 422 de 2000</w:t>
            </w:r>
          </w:p>
        </w:tc>
        <w:tc>
          <w:tcPr>
            <w:tcW w:w="284" w:type="dxa"/>
            <w:tcBorders>
              <w:top w:val="nil"/>
              <w:left w:val="single" w:sz="4" w:space="0" w:color="auto"/>
              <w:bottom w:val="nil"/>
              <w:right w:val="single" w:sz="4" w:space="0" w:color="auto"/>
            </w:tcBorders>
          </w:tcPr>
          <w:p w:rsidR="003D5E3B" w:rsidRPr="00AB6B26" w:rsidRDefault="003D5E3B" w:rsidP="0000280B">
            <w:pPr>
              <w:rPr>
                <w:rFonts w:ascii="Arial" w:hAnsi="Arial" w:cs="Arial"/>
                <w:b/>
                <w:sz w:val="20"/>
                <w:szCs w:val="20"/>
                <w:highlight w:val="cyan"/>
              </w:rPr>
            </w:pPr>
          </w:p>
        </w:tc>
        <w:tc>
          <w:tcPr>
            <w:tcW w:w="483" w:type="dxa"/>
            <w:tcBorders>
              <w:left w:val="single" w:sz="4" w:space="0" w:color="auto"/>
            </w:tcBorders>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8</w:t>
            </w:r>
          </w:p>
        </w:tc>
        <w:tc>
          <w:tcPr>
            <w:tcW w:w="4195" w:type="dxa"/>
          </w:tcPr>
          <w:p w:rsidR="003D5E3B" w:rsidRPr="00AB6B26" w:rsidRDefault="003D5E3B" w:rsidP="003D5E3B">
            <w:pPr>
              <w:rPr>
                <w:rFonts w:ascii="Arial" w:hAnsi="Arial" w:cs="Arial"/>
                <w:sz w:val="20"/>
                <w:szCs w:val="24"/>
                <w:highlight w:val="cyan"/>
              </w:rPr>
            </w:pPr>
            <w:r w:rsidRPr="00AB6B26">
              <w:rPr>
                <w:rFonts w:ascii="Arial" w:hAnsi="Arial" w:cs="Arial"/>
                <w:sz w:val="20"/>
                <w:szCs w:val="24"/>
                <w:highlight w:val="cyan"/>
              </w:rPr>
              <w:t>Decreto 4259 de 2007</w:t>
            </w:r>
          </w:p>
        </w:tc>
      </w:tr>
      <w:tr w:rsidR="003D5E3B" w:rsidRPr="00AB6B26" w:rsidTr="003941DA">
        <w:tc>
          <w:tcPr>
            <w:tcW w:w="536" w:type="dxa"/>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9</w:t>
            </w:r>
          </w:p>
        </w:tc>
        <w:tc>
          <w:tcPr>
            <w:tcW w:w="4108" w:type="dxa"/>
            <w:tcBorders>
              <w:right w:val="single" w:sz="4" w:space="0" w:color="auto"/>
            </w:tcBorders>
          </w:tcPr>
          <w:p w:rsidR="003D5E3B" w:rsidRPr="00AB6B26" w:rsidRDefault="003D5E3B" w:rsidP="008075B4">
            <w:pPr>
              <w:rPr>
                <w:rFonts w:ascii="Arial" w:hAnsi="Arial" w:cs="Arial"/>
                <w:sz w:val="20"/>
                <w:szCs w:val="24"/>
                <w:highlight w:val="cyan"/>
              </w:rPr>
            </w:pPr>
            <w:r w:rsidRPr="00AB6B26">
              <w:rPr>
                <w:rFonts w:ascii="Arial" w:hAnsi="Arial" w:cs="Arial"/>
                <w:sz w:val="20"/>
                <w:highlight w:val="cyan"/>
              </w:rPr>
              <w:t>Decreto 2702 de 2013</w:t>
            </w:r>
            <w:r w:rsidR="00FF0158" w:rsidRPr="00AB6B26">
              <w:rPr>
                <w:rFonts w:ascii="Arial" w:hAnsi="Arial" w:cs="Arial"/>
                <w:sz w:val="20"/>
                <w:highlight w:val="cyan"/>
              </w:rPr>
              <w:t>, Estatuto Tributario</w:t>
            </w:r>
          </w:p>
        </w:tc>
        <w:tc>
          <w:tcPr>
            <w:tcW w:w="284" w:type="dxa"/>
            <w:tcBorders>
              <w:top w:val="nil"/>
              <w:left w:val="single" w:sz="4" w:space="0" w:color="auto"/>
              <w:bottom w:val="nil"/>
              <w:right w:val="single" w:sz="4" w:space="0" w:color="auto"/>
            </w:tcBorders>
          </w:tcPr>
          <w:p w:rsidR="003D5E3B" w:rsidRPr="00AB6B26" w:rsidRDefault="003D5E3B" w:rsidP="0000280B">
            <w:pPr>
              <w:rPr>
                <w:rFonts w:ascii="Arial" w:hAnsi="Arial" w:cs="Arial"/>
                <w:b/>
                <w:sz w:val="20"/>
                <w:szCs w:val="20"/>
                <w:highlight w:val="cyan"/>
              </w:rPr>
            </w:pPr>
          </w:p>
        </w:tc>
        <w:tc>
          <w:tcPr>
            <w:tcW w:w="483" w:type="dxa"/>
            <w:tcBorders>
              <w:left w:val="single" w:sz="4" w:space="0" w:color="auto"/>
            </w:tcBorders>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10</w:t>
            </w:r>
          </w:p>
        </w:tc>
        <w:tc>
          <w:tcPr>
            <w:tcW w:w="4195" w:type="dxa"/>
          </w:tcPr>
          <w:p w:rsidR="003D5E3B" w:rsidRPr="00AB6B26" w:rsidRDefault="003D5E3B" w:rsidP="003D5E3B">
            <w:pPr>
              <w:rPr>
                <w:rFonts w:ascii="Arial" w:hAnsi="Arial" w:cs="Arial"/>
                <w:sz w:val="20"/>
                <w:szCs w:val="24"/>
                <w:highlight w:val="cyan"/>
              </w:rPr>
            </w:pPr>
            <w:r w:rsidRPr="00AB6B26">
              <w:rPr>
                <w:rFonts w:ascii="Arial" w:hAnsi="Arial" w:cs="Arial"/>
                <w:sz w:val="20"/>
                <w:szCs w:val="24"/>
                <w:highlight w:val="cyan"/>
              </w:rPr>
              <w:t>Decreto 556 de 2014</w:t>
            </w:r>
          </w:p>
        </w:tc>
      </w:tr>
      <w:tr w:rsidR="003D5E3B" w:rsidRPr="00AB6B26" w:rsidTr="003941DA">
        <w:tc>
          <w:tcPr>
            <w:tcW w:w="536" w:type="dxa"/>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11</w:t>
            </w:r>
          </w:p>
        </w:tc>
        <w:tc>
          <w:tcPr>
            <w:tcW w:w="4108" w:type="dxa"/>
            <w:tcBorders>
              <w:right w:val="single" w:sz="4" w:space="0" w:color="auto"/>
            </w:tcBorders>
          </w:tcPr>
          <w:p w:rsidR="003D5E3B" w:rsidRPr="00AB6B26" w:rsidRDefault="003D5E3B" w:rsidP="008075B4">
            <w:pPr>
              <w:rPr>
                <w:rFonts w:ascii="Arial" w:hAnsi="Arial" w:cs="Arial"/>
                <w:sz w:val="20"/>
                <w:szCs w:val="24"/>
                <w:highlight w:val="cyan"/>
              </w:rPr>
            </w:pPr>
            <w:r w:rsidRPr="00AB6B26">
              <w:rPr>
                <w:rFonts w:ascii="Arial" w:hAnsi="Arial" w:cs="Arial"/>
                <w:sz w:val="20"/>
                <w:szCs w:val="23"/>
                <w:highlight w:val="cyan"/>
              </w:rPr>
              <w:t>Resolución IGAC 620 DE 2008</w:t>
            </w:r>
          </w:p>
        </w:tc>
        <w:tc>
          <w:tcPr>
            <w:tcW w:w="284" w:type="dxa"/>
            <w:tcBorders>
              <w:top w:val="nil"/>
              <w:left w:val="single" w:sz="4" w:space="0" w:color="auto"/>
              <w:bottom w:val="nil"/>
              <w:right w:val="single" w:sz="4" w:space="0" w:color="auto"/>
            </w:tcBorders>
          </w:tcPr>
          <w:p w:rsidR="003D5E3B" w:rsidRPr="00AB6B26" w:rsidRDefault="003D5E3B" w:rsidP="0000280B">
            <w:pPr>
              <w:rPr>
                <w:rFonts w:ascii="Arial" w:hAnsi="Arial" w:cs="Arial"/>
                <w:b/>
                <w:sz w:val="20"/>
                <w:szCs w:val="20"/>
                <w:highlight w:val="cyan"/>
              </w:rPr>
            </w:pPr>
          </w:p>
        </w:tc>
        <w:tc>
          <w:tcPr>
            <w:tcW w:w="483" w:type="dxa"/>
            <w:tcBorders>
              <w:left w:val="single" w:sz="4" w:space="0" w:color="auto"/>
            </w:tcBorders>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12</w:t>
            </w:r>
          </w:p>
        </w:tc>
        <w:tc>
          <w:tcPr>
            <w:tcW w:w="4195" w:type="dxa"/>
          </w:tcPr>
          <w:p w:rsidR="003D5E3B" w:rsidRPr="00AB6B26" w:rsidRDefault="003D5E3B" w:rsidP="003D5E3B">
            <w:pPr>
              <w:rPr>
                <w:rFonts w:ascii="Arial" w:hAnsi="Arial" w:cs="Arial"/>
                <w:sz w:val="20"/>
                <w:szCs w:val="24"/>
                <w:highlight w:val="cyan"/>
              </w:rPr>
            </w:pPr>
            <w:r w:rsidRPr="00AB6B26">
              <w:rPr>
                <w:rFonts w:ascii="Arial" w:hAnsi="Arial" w:cs="Arial"/>
                <w:sz w:val="20"/>
                <w:szCs w:val="23"/>
                <w:highlight w:val="cyan"/>
              </w:rPr>
              <w:t>Resolución IGAC 70 DE 2011</w:t>
            </w:r>
          </w:p>
        </w:tc>
      </w:tr>
      <w:tr w:rsidR="003D5E3B" w:rsidRPr="00AB6B26" w:rsidTr="003941DA">
        <w:tc>
          <w:tcPr>
            <w:tcW w:w="536" w:type="dxa"/>
          </w:tcPr>
          <w:p w:rsidR="003D5E3B" w:rsidRPr="00AB6B26" w:rsidRDefault="003D5E3B" w:rsidP="0000280B">
            <w:pPr>
              <w:rPr>
                <w:rFonts w:ascii="Arial" w:hAnsi="Arial" w:cs="Arial"/>
                <w:b/>
                <w:sz w:val="20"/>
                <w:szCs w:val="20"/>
                <w:highlight w:val="cyan"/>
              </w:rPr>
            </w:pPr>
            <w:r w:rsidRPr="00AB6B26">
              <w:rPr>
                <w:rFonts w:ascii="Arial" w:hAnsi="Arial" w:cs="Arial"/>
                <w:b/>
                <w:sz w:val="20"/>
                <w:szCs w:val="20"/>
                <w:highlight w:val="cyan"/>
              </w:rPr>
              <w:t>13</w:t>
            </w:r>
          </w:p>
        </w:tc>
        <w:tc>
          <w:tcPr>
            <w:tcW w:w="4108" w:type="dxa"/>
            <w:tcBorders>
              <w:right w:val="single" w:sz="4" w:space="0" w:color="auto"/>
            </w:tcBorders>
          </w:tcPr>
          <w:p w:rsidR="003D5E3B" w:rsidRPr="00AB6B26" w:rsidRDefault="003D5E3B" w:rsidP="003D5E3B">
            <w:pPr>
              <w:rPr>
                <w:rFonts w:ascii="Arial" w:hAnsi="Arial" w:cs="Arial"/>
                <w:sz w:val="20"/>
                <w:szCs w:val="23"/>
                <w:highlight w:val="cyan"/>
              </w:rPr>
            </w:pPr>
            <w:r w:rsidRPr="00AB6B26">
              <w:rPr>
                <w:rFonts w:ascii="Arial" w:hAnsi="Arial" w:cs="Arial"/>
                <w:sz w:val="20"/>
                <w:szCs w:val="23"/>
                <w:highlight w:val="cyan"/>
              </w:rPr>
              <w:t>Acuerdo 1852 de 2003 Consejo Superior de la Judicatura.</w:t>
            </w:r>
          </w:p>
        </w:tc>
        <w:tc>
          <w:tcPr>
            <w:tcW w:w="284" w:type="dxa"/>
            <w:tcBorders>
              <w:top w:val="nil"/>
              <w:left w:val="single" w:sz="4" w:space="0" w:color="auto"/>
              <w:bottom w:val="nil"/>
              <w:right w:val="single" w:sz="4" w:space="0" w:color="auto"/>
            </w:tcBorders>
          </w:tcPr>
          <w:p w:rsidR="003D5E3B" w:rsidRPr="00AB6B26" w:rsidRDefault="003D5E3B" w:rsidP="0000280B">
            <w:pPr>
              <w:rPr>
                <w:rFonts w:ascii="Arial" w:hAnsi="Arial" w:cs="Arial"/>
                <w:b/>
                <w:sz w:val="20"/>
                <w:szCs w:val="20"/>
                <w:highlight w:val="cyan"/>
              </w:rPr>
            </w:pPr>
          </w:p>
        </w:tc>
        <w:tc>
          <w:tcPr>
            <w:tcW w:w="483" w:type="dxa"/>
            <w:tcBorders>
              <w:left w:val="single" w:sz="4" w:space="0" w:color="auto"/>
            </w:tcBorders>
          </w:tcPr>
          <w:p w:rsidR="003D5E3B" w:rsidRPr="00AB6B26" w:rsidRDefault="00CA5287" w:rsidP="0000280B">
            <w:pPr>
              <w:rPr>
                <w:rFonts w:ascii="Arial" w:hAnsi="Arial" w:cs="Arial"/>
                <w:b/>
                <w:sz w:val="20"/>
                <w:szCs w:val="20"/>
                <w:highlight w:val="cyan"/>
              </w:rPr>
            </w:pPr>
            <w:r w:rsidRPr="00AB6B26">
              <w:rPr>
                <w:rFonts w:ascii="Arial" w:hAnsi="Arial" w:cs="Arial"/>
                <w:b/>
                <w:sz w:val="20"/>
                <w:szCs w:val="20"/>
                <w:highlight w:val="cyan"/>
              </w:rPr>
              <w:t>14</w:t>
            </w:r>
          </w:p>
        </w:tc>
        <w:tc>
          <w:tcPr>
            <w:tcW w:w="4195" w:type="dxa"/>
          </w:tcPr>
          <w:p w:rsidR="003D5E3B" w:rsidRPr="00AB6B26" w:rsidRDefault="00981AC2" w:rsidP="003D5E3B">
            <w:pPr>
              <w:rPr>
                <w:rFonts w:ascii="Arial" w:hAnsi="Arial" w:cs="Arial"/>
                <w:sz w:val="20"/>
                <w:szCs w:val="24"/>
                <w:highlight w:val="cyan"/>
              </w:rPr>
            </w:pPr>
            <w:r w:rsidRPr="00AB6B26">
              <w:rPr>
                <w:rFonts w:ascii="Arial" w:hAnsi="Arial" w:cs="Arial"/>
                <w:sz w:val="20"/>
                <w:szCs w:val="23"/>
                <w:highlight w:val="cyan"/>
              </w:rPr>
              <w:t xml:space="preserve">Código </w:t>
            </w:r>
            <w:r w:rsidR="00A95EF6" w:rsidRPr="00AB6B26">
              <w:rPr>
                <w:rFonts w:ascii="Arial" w:hAnsi="Arial" w:cs="Arial"/>
                <w:sz w:val="20"/>
                <w:szCs w:val="23"/>
                <w:highlight w:val="cyan"/>
              </w:rPr>
              <w:t>Civil</w:t>
            </w:r>
            <w:r w:rsidRPr="00AB6B26">
              <w:rPr>
                <w:rFonts w:ascii="Arial" w:hAnsi="Arial" w:cs="Arial"/>
                <w:sz w:val="20"/>
                <w:szCs w:val="23"/>
                <w:highlight w:val="cyan"/>
              </w:rPr>
              <w:t xml:space="preserve"> </w:t>
            </w:r>
            <w:r w:rsidR="00CC600A" w:rsidRPr="00AB6B26">
              <w:rPr>
                <w:rFonts w:ascii="Arial" w:hAnsi="Arial" w:cs="Arial"/>
                <w:sz w:val="20"/>
                <w:szCs w:val="23"/>
                <w:highlight w:val="cyan"/>
              </w:rPr>
              <w:t>Articulo</w:t>
            </w:r>
            <w:r w:rsidRPr="00AB6B26">
              <w:rPr>
                <w:rFonts w:ascii="Arial" w:hAnsi="Arial" w:cs="Arial"/>
                <w:sz w:val="20"/>
                <w:szCs w:val="23"/>
                <w:highlight w:val="cyan"/>
              </w:rPr>
              <w:t>s:</w:t>
            </w:r>
            <w:r w:rsidR="00A95EF6" w:rsidRPr="00AB6B26">
              <w:rPr>
                <w:rFonts w:ascii="Arial" w:hAnsi="Arial" w:cs="Arial"/>
                <w:sz w:val="20"/>
                <w:szCs w:val="23"/>
                <w:highlight w:val="cyan"/>
              </w:rPr>
              <w:t xml:space="preserve">21, 22, </w:t>
            </w:r>
            <w:r w:rsidRPr="00AB6B26">
              <w:rPr>
                <w:rFonts w:ascii="Arial" w:hAnsi="Arial" w:cs="Arial"/>
                <w:sz w:val="20"/>
                <w:szCs w:val="23"/>
                <w:highlight w:val="cyan"/>
              </w:rPr>
              <w:t xml:space="preserve">756, </w:t>
            </w:r>
            <w:r w:rsidR="00CC600A" w:rsidRPr="00AB6B26">
              <w:rPr>
                <w:rFonts w:ascii="Arial" w:hAnsi="Arial" w:cs="Arial"/>
                <w:sz w:val="20"/>
                <w:szCs w:val="23"/>
                <w:highlight w:val="cyan"/>
              </w:rPr>
              <w:t>1495</w:t>
            </w:r>
            <w:r w:rsidR="007D3F8C" w:rsidRPr="00AB6B26">
              <w:rPr>
                <w:rFonts w:ascii="Arial" w:hAnsi="Arial" w:cs="Arial"/>
                <w:sz w:val="20"/>
                <w:szCs w:val="23"/>
                <w:highlight w:val="cyan"/>
              </w:rPr>
              <w:t>,</w:t>
            </w:r>
            <w:r w:rsidRPr="00AB6B26">
              <w:rPr>
                <w:rFonts w:ascii="Arial" w:hAnsi="Arial" w:cs="Arial"/>
                <w:sz w:val="20"/>
                <w:szCs w:val="23"/>
                <w:highlight w:val="cyan"/>
              </w:rPr>
              <w:t xml:space="preserve"> </w:t>
            </w:r>
            <w:r w:rsidR="007D3F8C" w:rsidRPr="00AB6B26">
              <w:rPr>
                <w:rFonts w:ascii="Arial" w:hAnsi="Arial" w:cs="Arial"/>
                <w:sz w:val="20"/>
                <w:szCs w:val="23"/>
                <w:highlight w:val="cyan"/>
              </w:rPr>
              <w:t>1602,</w:t>
            </w:r>
            <w:r w:rsidRPr="00AB6B26">
              <w:rPr>
                <w:rFonts w:ascii="Arial" w:hAnsi="Arial" w:cs="Arial"/>
                <w:sz w:val="20"/>
                <w:szCs w:val="23"/>
                <w:highlight w:val="cyan"/>
              </w:rPr>
              <w:t xml:space="preserve"> </w:t>
            </w:r>
            <w:r w:rsidR="00A95EF6" w:rsidRPr="00AB6B26">
              <w:rPr>
                <w:rFonts w:ascii="Arial" w:hAnsi="Arial" w:cs="Arial"/>
                <w:sz w:val="20"/>
                <w:szCs w:val="23"/>
                <w:highlight w:val="cyan"/>
              </w:rPr>
              <w:t>1546</w:t>
            </w:r>
          </w:p>
        </w:tc>
      </w:tr>
      <w:tr w:rsidR="009B1D5C" w:rsidRPr="00AB6B26" w:rsidTr="003941DA">
        <w:tc>
          <w:tcPr>
            <w:tcW w:w="536" w:type="dxa"/>
          </w:tcPr>
          <w:p w:rsidR="009B1D5C" w:rsidRPr="00AB6B26" w:rsidRDefault="009B1D5C" w:rsidP="0000280B">
            <w:pPr>
              <w:rPr>
                <w:rFonts w:ascii="Arial" w:hAnsi="Arial" w:cs="Arial"/>
                <w:b/>
                <w:sz w:val="20"/>
                <w:szCs w:val="20"/>
                <w:highlight w:val="cyan"/>
              </w:rPr>
            </w:pPr>
            <w:r w:rsidRPr="00AB6B26">
              <w:rPr>
                <w:rFonts w:ascii="Arial" w:hAnsi="Arial" w:cs="Arial"/>
                <w:b/>
                <w:sz w:val="20"/>
                <w:szCs w:val="20"/>
                <w:highlight w:val="cyan"/>
              </w:rPr>
              <w:t>15</w:t>
            </w:r>
          </w:p>
        </w:tc>
        <w:tc>
          <w:tcPr>
            <w:tcW w:w="4108" w:type="dxa"/>
            <w:tcBorders>
              <w:right w:val="single" w:sz="4" w:space="0" w:color="auto"/>
            </w:tcBorders>
          </w:tcPr>
          <w:p w:rsidR="009B1D5C" w:rsidRPr="00AB6B26" w:rsidRDefault="009B1D5C" w:rsidP="003D5E3B">
            <w:pPr>
              <w:rPr>
                <w:rFonts w:ascii="Arial" w:hAnsi="Arial" w:cs="Arial"/>
                <w:sz w:val="20"/>
                <w:szCs w:val="23"/>
                <w:highlight w:val="cyan"/>
              </w:rPr>
            </w:pPr>
            <w:r w:rsidRPr="00AB6B26">
              <w:rPr>
                <w:rFonts w:ascii="Arial" w:hAnsi="Arial" w:cs="Arial"/>
                <w:sz w:val="20"/>
                <w:szCs w:val="23"/>
                <w:highlight w:val="cyan"/>
              </w:rPr>
              <w:t>Articulo 864 Código de Comercio</w:t>
            </w:r>
          </w:p>
        </w:tc>
        <w:tc>
          <w:tcPr>
            <w:tcW w:w="284" w:type="dxa"/>
            <w:tcBorders>
              <w:top w:val="nil"/>
              <w:left w:val="single" w:sz="4" w:space="0" w:color="auto"/>
              <w:bottom w:val="nil"/>
              <w:right w:val="single" w:sz="4" w:space="0" w:color="auto"/>
            </w:tcBorders>
          </w:tcPr>
          <w:p w:rsidR="009B1D5C" w:rsidRPr="00AB6B26" w:rsidRDefault="009B1D5C" w:rsidP="0000280B">
            <w:pPr>
              <w:rPr>
                <w:rFonts w:ascii="Arial" w:hAnsi="Arial" w:cs="Arial"/>
                <w:b/>
                <w:sz w:val="20"/>
                <w:szCs w:val="20"/>
                <w:highlight w:val="cyan"/>
              </w:rPr>
            </w:pPr>
          </w:p>
        </w:tc>
        <w:tc>
          <w:tcPr>
            <w:tcW w:w="483" w:type="dxa"/>
            <w:tcBorders>
              <w:left w:val="single" w:sz="4" w:space="0" w:color="auto"/>
            </w:tcBorders>
          </w:tcPr>
          <w:p w:rsidR="009B1D5C" w:rsidRPr="00AB6B26" w:rsidRDefault="009B1D5C" w:rsidP="0000280B">
            <w:pPr>
              <w:rPr>
                <w:rFonts w:ascii="Arial" w:hAnsi="Arial" w:cs="Arial"/>
                <w:b/>
                <w:sz w:val="20"/>
                <w:szCs w:val="20"/>
                <w:highlight w:val="cyan"/>
              </w:rPr>
            </w:pPr>
            <w:r w:rsidRPr="00AB6B26">
              <w:rPr>
                <w:rFonts w:ascii="Arial" w:hAnsi="Arial" w:cs="Arial"/>
                <w:b/>
                <w:sz w:val="20"/>
                <w:szCs w:val="20"/>
                <w:highlight w:val="cyan"/>
              </w:rPr>
              <w:t>16</w:t>
            </w:r>
          </w:p>
        </w:tc>
        <w:tc>
          <w:tcPr>
            <w:tcW w:w="4195" w:type="dxa"/>
          </w:tcPr>
          <w:p w:rsidR="009B1D5C" w:rsidRPr="00AB6B26" w:rsidRDefault="009B1D5C" w:rsidP="00AC634C">
            <w:pPr>
              <w:rPr>
                <w:rFonts w:ascii="Arial" w:hAnsi="Arial" w:cs="Arial"/>
                <w:sz w:val="20"/>
                <w:szCs w:val="23"/>
                <w:highlight w:val="cyan"/>
              </w:rPr>
            </w:pPr>
            <w:r w:rsidRPr="00AB6B26">
              <w:rPr>
                <w:rFonts w:ascii="Arial" w:hAnsi="Arial" w:cs="Arial"/>
                <w:sz w:val="20"/>
                <w:szCs w:val="23"/>
                <w:highlight w:val="cyan"/>
              </w:rPr>
              <w:t>Ley 789 del 2002</w:t>
            </w:r>
          </w:p>
        </w:tc>
      </w:tr>
      <w:tr w:rsidR="009B1D5C" w:rsidRPr="00AB6B26" w:rsidTr="003941DA">
        <w:tc>
          <w:tcPr>
            <w:tcW w:w="536" w:type="dxa"/>
          </w:tcPr>
          <w:p w:rsidR="009B1D5C" w:rsidRPr="00AB6B26" w:rsidRDefault="009B1D5C" w:rsidP="0000280B">
            <w:pPr>
              <w:rPr>
                <w:rFonts w:ascii="Arial" w:hAnsi="Arial" w:cs="Arial"/>
                <w:b/>
                <w:sz w:val="20"/>
                <w:szCs w:val="20"/>
                <w:highlight w:val="cyan"/>
              </w:rPr>
            </w:pPr>
            <w:r w:rsidRPr="00AB6B26">
              <w:rPr>
                <w:rFonts w:ascii="Arial" w:hAnsi="Arial" w:cs="Arial"/>
                <w:b/>
                <w:sz w:val="20"/>
                <w:szCs w:val="20"/>
                <w:highlight w:val="cyan"/>
              </w:rPr>
              <w:t>17</w:t>
            </w:r>
          </w:p>
        </w:tc>
        <w:tc>
          <w:tcPr>
            <w:tcW w:w="4108" w:type="dxa"/>
            <w:tcBorders>
              <w:right w:val="single" w:sz="4" w:space="0" w:color="auto"/>
            </w:tcBorders>
          </w:tcPr>
          <w:p w:rsidR="009B1D5C" w:rsidRPr="00AB6B26" w:rsidRDefault="009B1D5C" w:rsidP="00AC634C">
            <w:pPr>
              <w:rPr>
                <w:rFonts w:ascii="Arial" w:hAnsi="Arial" w:cs="Arial"/>
                <w:sz w:val="20"/>
                <w:szCs w:val="23"/>
                <w:highlight w:val="cyan"/>
              </w:rPr>
            </w:pPr>
            <w:r w:rsidRPr="00AB6B26">
              <w:rPr>
                <w:rFonts w:ascii="Arial" w:hAnsi="Arial" w:cs="Arial"/>
                <w:sz w:val="20"/>
                <w:szCs w:val="23"/>
                <w:highlight w:val="cyan"/>
              </w:rPr>
              <w:t>Decreto 1703 de 2002</w:t>
            </w:r>
          </w:p>
        </w:tc>
        <w:tc>
          <w:tcPr>
            <w:tcW w:w="284" w:type="dxa"/>
            <w:tcBorders>
              <w:top w:val="nil"/>
              <w:left w:val="single" w:sz="4" w:space="0" w:color="auto"/>
              <w:bottom w:val="nil"/>
              <w:right w:val="single" w:sz="4" w:space="0" w:color="auto"/>
            </w:tcBorders>
          </w:tcPr>
          <w:p w:rsidR="009B1D5C" w:rsidRPr="00AB6B26" w:rsidRDefault="009B1D5C" w:rsidP="0000280B">
            <w:pPr>
              <w:rPr>
                <w:rFonts w:ascii="Arial" w:hAnsi="Arial" w:cs="Arial"/>
                <w:b/>
                <w:sz w:val="20"/>
                <w:szCs w:val="20"/>
                <w:highlight w:val="cyan"/>
              </w:rPr>
            </w:pPr>
          </w:p>
        </w:tc>
        <w:tc>
          <w:tcPr>
            <w:tcW w:w="483" w:type="dxa"/>
            <w:tcBorders>
              <w:left w:val="single" w:sz="4" w:space="0" w:color="auto"/>
            </w:tcBorders>
          </w:tcPr>
          <w:p w:rsidR="009B1D5C" w:rsidRPr="00AB6B26" w:rsidRDefault="007D3F8C" w:rsidP="0000280B">
            <w:pPr>
              <w:rPr>
                <w:rFonts w:ascii="Arial" w:hAnsi="Arial" w:cs="Arial"/>
                <w:b/>
                <w:sz w:val="20"/>
                <w:szCs w:val="20"/>
                <w:highlight w:val="cyan"/>
              </w:rPr>
            </w:pPr>
            <w:r w:rsidRPr="00AB6B26">
              <w:rPr>
                <w:rFonts w:ascii="Arial" w:hAnsi="Arial" w:cs="Arial"/>
                <w:b/>
                <w:sz w:val="20"/>
                <w:szCs w:val="20"/>
                <w:highlight w:val="cyan"/>
              </w:rPr>
              <w:t>18</w:t>
            </w:r>
          </w:p>
        </w:tc>
        <w:tc>
          <w:tcPr>
            <w:tcW w:w="4195" w:type="dxa"/>
          </w:tcPr>
          <w:p w:rsidR="009B1D5C" w:rsidRPr="00AB6B26" w:rsidRDefault="009B1D5C" w:rsidP="003D5E3B">
            <w:pPr>
              <w:rPr>
                <w:rFonts w:ascii="Arial" w:hAnsi="Arial" w:cs="Arial"/>
                <w:sz w:val="20"/>
                <w:szCs w:val="23"/>
                <w:highlight w:val="cyan"/>
              </w:rPr>
            </w:pPr>
            <w:r w:rsidRPr="00AB6B26">
              <w:rPr>
                <w:rFonts w:ascii="Arial" w:hAnsi="Arial" w:cs="Arial"/>
                <w:sz w:val="20"/>
                <w:szCs w:val="23"/>
                <w:highlight w:val="cyan"/>
              </w:rPr>
              <w:t>Ley 1393 de 2010</w:t>
            </w:r>
          </w:p>
        </w:tc>
      </w:tr>
      <w:tr w:rsidR="005F7D6B" w:rsidRPr="00AB6B26" w:rsidTr="003941DA">
        <w:tc>
          <w:tcPr>
            <w:tcW w:w="536" w:type="dxa"/>
          </w:tcPr>
          <w:p w:rsidR="005F7D6B" w:rsidRPr="00AB6B26" w:rsidRDefault="005F7D6B" w:rsidP="0000280B">
            <w:pPr>
              <w:rPr>
                <w:rFonts w:ascii="Arial" w:hAnsi="Arial" w:cs="Arial"/>
                <w:b/>
                <w:sz w:val="20"/>
                <w:szCs w:val="20"/>
                <w:highlight w:val="cyan"/>
              </w:rPr>
            </w:pPr>
            <w:r w:rsidRPr="00AB6B26">
              <w:rPr>
                <w:rFonts w:ascii="Arial" w:hAnsi="Arial" w:cs="Arial"/>
                <w:b/>
                <w:sz w:val="20"/>
                <w:szCs w:val="20"/>
                <w:highlight w:val="cyan"/>
              </w:rPr>
              <w:t>19</w:t>
            </w:r>
          </w:p>
        </w:tc>
        <w:tc>
          <w:tcPr>
            <w:tcW w:w="4108" w:type="dxa"/>
            <w:tcBorders>
              <w:right w:val="single" w:sz="4" w:space="0" w:color="auto"/>
            </w:tcBorders>
          </w:tcPr>
          <w:p w:rsidR="005F7D6B" w:rsidRPr="00AB6B26" w:rsidRDefault="00272084" w:rsidP="00AC634C">
            <w:pPr>
              <w:rPr>
                <w:rFonts w:ascii="Arial" w:hAnsi="Arial" w:cs="Arial"/>
                <w:sz w:val="20"/>
                <w:szCs w:val="23"/>
                <w:highlight w:val="cyan"/>
              </w:rPr>
            </w:pPr>
            <w:r w:rsidRPr="00AB6B26">
              <w:rPr>
                <w:rFonts w:ascii="Arial" w:hAnsi="Arial" w:cs="Arial"/>
                <w:sz w:val="20"/>
                <w:szCs w:val="23"/>
                <w:highlight w:val="cyan"/>
              </w:rPr>
              <w:t>Ley 1579 de 2012 Estatuto Registral</w:t>
            </w:r>
          </w:p>
        </w:tc>
        <w:tc>
          <w:tcPr>
            <w:tcW w:w="284" w:type="dxa"/>
            <w:tcBorders>
              <w:top w:val="nil"/>
              <w:left w:val="single" w:sz="4" w:space="0" w:color="auto"/>
              <w:bottom w:val="nil"/>
              <w:right w:val="single" w:sz="4" w:space="0" w:color="auto"/>
            </w:tcBorders>
          </w:tcPr>
          <w:p w:rsidR="005F7D6B" w:rsidRPr="00AB6B26" w:rsidRDefault="005F7D6B" w:rsidP="0000280B">
            <w:pPr>
              <w:rPr>
                <w:rFonts w:ascii="Arial" w:hAnsi="Arial" w:cs="Arial"/>
                <w:b/>
                <w:sz w:val="20"/>
                <w:szCs w:val="20"/>
                <w:highlight w:val="cyan"/>
              </w:rPr>
            </w:pPr>
          </w:p>
        </w:tc>
        <w:tc>
          <w:tcPr>
            <w:tcW w:w="483" w:type="dxa"/>
            <w:tcBorders>
              <w:left w:val="single" w:sz="4" w:space="0" w:color="auto"/>
            </w:tcBorders>
          </w:tcPr>
          <w:p w:rsidR="005F7D6B" w:rsidRPr="00AB6B26" w:rsidRDefault="00272084" w:rsidP="0000280B">
            <w:pPr>
              <w:rPr>
                <w:rFonts w:ascii="Arial" w:hAnsi="Arial" w:cs="Arial"/>
                <w:b/>
                <w:sz w:val="20"/>
                <w:szCs w:val="20"/>
                <w:highlight w:val="cyan"/>
              </w:rPr>
            </w:pPr>
            <w:r w:rsidRPr="00AB6B26">
              <w:rPr>
                <w:rFonts w:ascii="Arial" w:hAnsi="Arial" w:cs="Arial"/>
                <w:b/>
                <w:sz w:val="20"/>
                <w:szCs w:val="20"/>
                <w:highlight w:val="cyan"/>
              </w:rPr>
              <w:t>20</w:t>
            </w:r>
          </w:p>
        </w:tc>
        <w:tc>
          <w:tcPr>
            <w:tcW w:w="4195" w:type="dxa"/>
          </w:tcPr>
          <w:p w:rsidR="005F7D6B" w:rsidRPr="00AB6B26" w:rsidRDefault="00272084" w:rsidP="003D5E3B">
            <w:pPr>
              <w:rPr>
                <w:rFonts w:ascii="Arial" w:hAnsi="Arial" w:cs="Arial"/>
                <w:sz w:val="20"/>
                <w:szCs w:val="23"/>
                <w:highlight w:val="cyan"/>
              </w:rPr>
            </w:pPr>
            <w:r w:rsidRPr="00AB6B26">
              <w:rPr>
                <w:rFonts w:ascii="Arial" w:hAnsi="Arial" w:cs="Arial"/>
                <w:sz w:val="20"/>
                <w:szCs w:val="23"/>
                <w:highlight w:val="cyan"/>
              </w:rPr>
              <w:t>Ley 1564 de 2014</w:t>
            </w:r>
            <w:r w:rsidR="00086154" w:rsidRPr="00AB6B26">
              <w:rPr>
                <w:rFonts w:ascii="Arial" w:hAnsi="Arial" w:cs="Arial"/>
                <w:sz w:val="20"/>
                <w:szCs w:val="23"/>
                <w:highlight w:val="cyan"/>
              </w:rPr>
              <w:t xml:space="preserve"> Código General de Proceso</w:t>
            </w:r>
          </w:p>
        </w:tc>
      </w:tr>
      <w:tr w:rsidR="005C061C" w:rsidRPr="00AB6B26" w:rsidTr="003941DA">
        <w:tc>
          <w:tcPr>
            <w:tcW w:w="536" w:type="dxa"/>
          </w:tcPr>
          <w:p w:rsidR="005C061C" w:rsidRPr="00AB6B26" w:rsidRDefault="005C061C" w:rsidP="0000280B">
            <w:pPr>
              <w:rPr>
                <w:rFonts w:ascii="Arial" w:hAnsi="Arial" w:cs="Arial"/>
                <w:b/>
                <w:sz w:val="20"/>
                <w:szCs w:val="20"/>
                <w:highlight w:val="cyan"/>
              </w:rPr>
            </w:pPr>
            <w:r w:rsidRPr="00AB6B26">
              <w:rPr>
                <w:rFonts w:ascii="Arial" w:hAnsi="Arial" w:cs="Arial"/>
                <w:b/>
                <w:sz w:val="20"/>
                <w:szCs w:val="20"/>
                <w:highlight w:val="cyan"/>
              </w:rPr>
              <w:t>21</w:t>
            </w:r>
          </w:p>
        </w:tc>
        <w:tc>
          <w:tcPr>
            <w:tcW w:w="4108" w:type="dxa"/>
            <w:tcBorders>
              <w:right w:val="single" w:sz="4" w:space="0" w:color="auto"/>
            </w:tcBorders>
          </w:tcPr>
          <w:p w:rsidR="005C061C" w:rsidRPr="00AB6B26" w:rsidRDefault="005C061C" w:rsidP="00AC634C">
            <w:pPr>
              <w:rPr>
                <w:rFonts w:ascii="Arial" w:hAnsi="Arial" w:cs="Arial"/>
                <w:sz w:val="20"/>
                <w:szCs w:val="23"/>
                <w:highlight w:val="cyan"/>
              </w:rPr>
            </w:pPr>
            <w:r w:rsidRPr="00AB6B26">
              <w:rPr>
                <w:rFonts w:ascii="Arial" w:hAnsi="Arial" w:cs="Arial"/>
                <w:sz w:val="20"/>
                <w:szCs w:val="23"/>
                <w:highlight w:val="cyan"/>
              </w:rPr>
              <w:t>Ley 1581 de 2012 ley Hábeas Data</w:t>
            </w:r>
          </w:p>
        </w:tc>
        <w:tc>
          <w:tcPr>
            <w:tcW w:w="284" w:type="dxa"/>
            <w:tcBorders>
              <w:top w:val="nil"/>
              <w:left w:val="single" w:sz="4" w:space="0" w:color="auto"/>
              <w:bottom w:val="nil"/>
              <w:right w:val="single" w:sz="4" w:space="0" w:color="auto"/>
            </w:tcBorders>
          </w:tcPr>
          <w:p w:rsidR="005C061C" w:rsidRPr="00AB6B26" w:rsidRDefault="005C061C" w:rsidP="0000280B">
            <w:pPr>
              <w:rPr>
                <w:rFonts w:ascii="Arial" w:hAnsi="Arial" w:cs="Arial"/>
                <w:b/>
                <w:sz w:val="20"/>
                <w:szCs w:val="20"/>
                <w:highlight w:val="cyan"/>
              </w:rPr>
            </w:pPr>
          </w:p>
        </w:tc>
        <w:tc>
          <w:tcPr>
            <w:tcW w:w="483" w:type="dxa"/>
            <w:tcBorders>
              <w:left w:val="single" w:sz="4" w:space="0" w:color="auto"/>
            </w:tcBorders>
          </w:tcPr>
          <w:p w:rsidR="005C061C" w:rsidRPr="00AB6B26" w:rsidRDefault="003941DA" w:rsidP="0000280B">
            <w:pPr>
              <w:rPr>
                <w:rFonts w:ascii="Arial" w:hAnsi="Arial" w:cs="Arial"/>
                <w:b/>
                <w:sz w:val="20"/>
                <w:szCs w:val="20"/>
                <w:highlight w:val="cyan"/>
              </w:rPr>
            </w:pPr>
            <w:r w:rsidRPr="00AB6B26">
              <w:rPr>
                <w:rFonts w:ascii="Arial" w:hAnsi="Arial" w:cs="Arial"/>
                <w:b/>
                <w:sz w:val="20"/>
                <w:szCs w:val="20"/>
                <w:highlight w:val="cyan"/>
              </w:rPr>
              <w:t>22</w:t>
            </w:r>
          </w:p>
        </w:tc>
        <w:tc>
          <w:tcPr>
            <w:tcW w:w="4195" w:type="dxa"/>
          </w:tcPr>
          <w:p w:rsidR="005C061C" w:rsidRPr="00AB6B26" w:rsidRDefault="003941DA" w:rsidP="003D5E3B">
            <w:pPr>
              <w:rPr>
                <w:rFonts w:ascii="Arial" w:hAnsi="Arial" w:cs="Arial"/>
                <w:sz w:val="20"/>
                <w:szCs w:val="23"/>
                <w:highlight w:val="cyan"/>
              </w:rPr>
            </w:pPr>
            <w:r w:rsidRPr="00AB6B26">
              <w:rPr>
                <w:rFonts w:ascii="Arial" w:hAnsi="Arial" w:cs="Arial"/>
                <w:sz w:val="20"/>
                <w:szCs w:val="23"/>
                <w:highlight w:val="cyan"/>
              </w:rPr>
              <w:t>Ley 1480 de 2011, Estatuto del Consumidor</w:t>
            </w:r>
          </w:p>
        </w:tc>
      </w:tr>
      <w:tr w:rsidR="00950B19" w:rsidRPr="00AB6B26" w:rsidTr="003941DA">
        <w:tc>
          <w:tcPr>
            <w:tcW w:w="536" w:type="dxa"/>
          </w:tcPr>
          <w:p w:rsidR="00950B19" w:rsidRPr="00AB6B26" w:rsidRDefault="00950B19" w:rsidP="0000280B">
            <w:pPr>
              <w:rPr>
                <w:rFonts w:ascii="Arial" w:hAnsi="Arial" w:cs="Arial"/>
                <w:b/>
                <w:sz w:val="20"/>
                <w:szCs w:val="20"/>
                <w:highlight w:val="cyan"/>
              </w:rPr>
            </w:pPr>
            <w:r w:rsidRPr="00AB6B26">
              <w:rPr>
                <w:rFonts w:ascii="Arial" w:hAnsi="Arial" w:cs="Arial"/>
                <w:b/>
                <w:sz w:val="20"/>
                <w:szCs w:val="20"/>
                <w:highlight w:val="cyan"/>
              </w:rPr>
              <w:t>23</w:t>
            </w:r>
          </w:p>
        </w:tc>
        <w:tc>
          <w:tcPr>
            <w:tcW w:w="4108" w:type="dxa"/>
            <w:tcBorders>
              <w:right w:val="single" w:sz="4" w:space="0" w:color="auto"/>
            </w:tcBorders>
          </w:tcPr>
          <w:p w:rsidR="00950B19" w:rsidRPr="00AB6B26" w:rsidRDefault="00950B19" w:rsidP="00AC634C">
            <w:pPr>
              <w:rPr>
                <w:rFonts w:ascii="Arial" w:hAnsi="Arial" w:cs="Arial"/>
                <w:sz w:val="20"/>
                <w:szCs w:val="23"/>
                <w:highlight w:val="cyan"/>
              </w:rPr>
            </w:pPr>
            <w:r w:rsidRPr="00AB6B26">
              <w:rPr>
                <w:rFonts w:ascii="Arial" w:hAnsi="Arial" w:cs="Arial"/>
                <w:sz w:val="20"/>
                <w:szCs w:val="23"/>
                <w:highlight w:val="cyan"/>
              </w:rPr>
              <w:t xml:space="preserve">Resolución IGAC 898 </w:t>
            </w:r>
            <w:r w:rsidR="00954909" w:rsidRPr="00AB6B26">
              <w:rPr>
                <w:rFonts w:ascii="Arial" w:hAnsi="Arial" w:cs="Arial"/>
                <w:sz w:val="20"/>
                <w:szCs w:val="23"/>
                <w:highlight w:val="cyan"/>
              </w:rPr>
              <w:t>y 1044</w:t>
            </w:r>
            <w:r w:rsidRPr="00AB6B26">
              <w:rPr>
                <w:rFonts w:ascii="Arial" w:hAnsi="Arial" w:cs="Arial"/>
                <w:sz w:val="20"/>
                <w:szCs w:val="23"/>
                <w:highlight w:val="cyan"/>
              </w:rPr>
              <w:t>de 2014</w:t>
            </w:r>
            <w:r w:rsidR="00954909" w:rsidRPr="00AB6B26">
              <w:rPr>
                <w:rFonts w:ascii="Arial" w:hAnsi="Arial" w:cs="Arial"/>
                <w:sz w:val="20"/>
                <w:szCs w:val="23"/>
                <w:highlight w:val="cyan"/>
              </w:rPr>
              <w:t>. Avalúos infraestructura</w:t>
            </w:r>
          </w:p>
        </w:tc>
        <w:tc>
          <w:tcPr>
            <w:tcW w:w="284" w:type="dxa"/>
            <w:tcBorders>
              <w:top w:val="nil"/>
              <w:left w:val="single" w:sz="4" w:space="0" w:color="auto"/>
              <w:bottom w:val="nil"/>
              <w:right w:val="single" w:sz="4" w:space="0" w:color="auto"/>
            </w:tcBorders>
          </w:tcPr>
          <w:p w:rsidR="00950B19" w:rsidRPr="00AB6B26" w:rsidRDefault="00950B19" w:rsidP="0000280B">
            <w:pPr>
              <w:rPr>
                <w:rFonts w:ascii="Arial" w:hAnsi="Arial" w:cs="Arial"/>
                <w:b/>
                <w:sz w:val="20"/>
                <w:szCs w:val="20"/>
                <w:highlight w:val="cyan"/>
              </w:rPr>
            </w:pPr>
          </w:p>
        </w:tc>
        <w:tc>
          <w:tcPr>
            <w:tcW w:w="483" w:type="dxa"/>
            <w:tcBorders>
              <w:left w:val="single" w:sz="4" w:space="0" w:color="auto"/>
            </w:tcBorders>
          </w:tcPr>
          <w:p w:rsidR="00950B19" w:rsidRPr="00AB6B26" w:rsidRDefault="005F2F6C" w:rsidP="0000280B">
            <w:pPr>
              <w:rPr>
                <w:rFonts w:ascii="Arial" w:hAnsi="Arial" w:cs="Arial"/>
                <w:b/>
                <w:sz w:val="20"/>
                <w:szCs w:val="20"/>
                <w:highlight w:val="cyan"/>
              </w:rPr>
            </w:pPr>
            <w:r w:rsidRPr="00AB6B26">
              <w:rPr>
                <w:rFonts w:ascii="Arial" w:hAnsi="Arial" w:cs="Arial"/>
                <w:b/>
                <w:sz w:val="20"/>
                <w:szCs w:val="20"/>
                <w:highlight w:val="cyan"/>
              </w:rPr>
              <w:t>24</w:t>
            </w:r>
          </w:p>
        </w:tc>
        <w:tc>
          <w:tcPr>
            <w:tcW w:w="4195" w:type="dxa"/>
          </w:tcPr>
          <w:p w:rsidR="00950B19" w:rsidRPr="00AB6B26" w:rsidRDefault="00954909" w:rsidP="003D5E3B">
            <w:pPr>
              <w:rPr>
                <w:rFonts w:ascii="Arial" w:hAnsi="Arial" w:cs="Arial"/>
                <w:sz w:val="20"/>
                <w:szCs w:val="23"/>
                <w:highlight w:val="cyan"/>
              </w:rPr>
            </w:pPr>
            <w:r w:rsidRPr="00AB6B26">
              <w:rPr>
                <w:rFonts w:ascii="Arial" w:hAnsi="Arial" w:cs="Arial"/>
                <w:sz w:val="20"/>
                <w:szCs w:val="23"/>
                <w:highlight w:val="cyan"/>
              </w:rPr>
              <w:t>Decreto 1604 de 1966 la valorización.</w:t>
            </w:r>
          </w:p>
        </w:tc>
      </w:tr>
      <w:tr w:rsidR="00EB3739" w:rsidRPr="00AB6B26" w:rsidTr="003941DA">
        <w:tc>
          <w:tcPr>
            <w:tcW w:w="536" w:type="dxa"/>
          </w:tcPr>
          <w:p w:rsidR="00EB3739" w:rsidRPr="00AB6B26" w:rsidRDefault="00EB3739" w:rsidP="0000280B">
            <w:pPr>
              <w:rPr>
                <w:rFonts w:ascii="Arial" w:hAnsi="Arial" w:cs="Arial"/>
                <w:b/>
                <w:sz w:val="20"/>
                <w:szCs w:val="20"/>
                <w:highlight w:val="cyan"/>
              </w:rPr>
            </w:pPr>
            <w:r w:rsidRPr="00AB6B26">
              <w:rPr>
                <w:rFonts w:ascii="Arial" w:hAnsi="Arial" w:cs="Arial"/>
                <w:b/>
                <w:sz w:val="20"/>
                <w:szCs w:val="20"/>
                <w:highlight w:val="cyan"/>
              </w:rPr>
              <w:t>25</w:t>
            </w:r>
          </w:p>
        </w:tc>
        <w:tc>
          <w:tcPr>
            <w:tcW w:w="4108" w:type="dxa"/>
            <w:tcBorders>
              <w:right w:val="single" w:sz="4" w:space="0" w:color="auto"/>
            </w:tcBorders>
          </w:tcPr>
          <w:p w:rsidR="00EB3739" w:rsidRPr="00AB6B26" w:rsidRDefault="00EB3739" w:rsidP="00AC634C">
            <w:pPr>
              <w:rPr>
                <w:rFonts w:ascii="Arial" w:hAnsi="Arial" w:cs="Arial"/>
                <w:sz w:val="20"/>
                <w:szCs w:val="23"/>
                <w:highlight w:val="cyan"/>
              </w:rPr>
            </w:pPr>
            <w:r w:rsidRPr="00AB6B26">
              <w:rPr>
                <w:rFonts w:ascii="Arial" w:hAnsi="Arial" w:cs="Arial"/>
                <w:sz w:val="20"/>
                <w:szCs w:val="23"/>
                <w:highlight w:val="cyan"/>
              </w:rPr>
              <w:t>Decreto 2784/2706 de 2012 Normas NIIF.</w:t>
            </w:r>
          </w:p>
        </w:tc>
        <w:tc>
          <w:tcPr>
            <w:tcW w:w="284" w:type="dxa"/>
            <w:tcBorders>
              <w:top w:val="nil"/>
              <w:left w:val="single" w:sz="4" w:space="0" w:color="auto"/>
              <w:bottom w:val="nil"/>
              <w:right w:val="single" w:sz="4" w:space="0" w:color="auto"/>
            </w:tcBorders>
          </w:tcPr>
          <w:p w:rsidR="00EB3739" w:rsidRPr="00AB6B26" w:rsidRDefault="00EB3739" w:rsidP="0000280B">
            <w:pPr>
              <w:rPr>
                <w:rFonts w:ascii="Arial" w:hAnsi="Arial" w:cs="Arial"/>
                <w:b/>
                <w:sz w:val="20"/>
                <w:szCs w:val="20"/>
                <w:highlight w:val="cyan"/>
              </w:rPr>
            </w:pPr>
          </w:p>
        </w:tc>
        <w:tc>
          <w:tcPr>
            <w:tcW w:w="483" w:type="dxa"/>
            <w:tcBorders>
              <w:left w:val="single" w:sz="4" w:space="0" w:color="auto"/>
            </w:tcBorders>
          </w:tcPr>
          <w:p w:rsidR="00EB3739" w:rsidRPr="00AB6B26" w:rsidRDefault="00D351BC" w:rsidP="0000280B">
            <w:pPr>
              <w:rPr>
                <w:rFonts w:ascii="Arial" w:hAnsi="Arial" w:cs="Arial"/>
                <w:b/>
                <w:sz w:val="20"/>
                <w:szCs w:val="20"/>
                <w:highlight w:val="cyan"/>
              </w:rPr>
            </w:pPr>
            <w:r w:rsidRPr="00AB6B26">
              <w:rPr>
                <w:rFonts w:ascii="Arial" w:hAnsi="Arial" w:cs="Arial"/>
                <w:b/>
                <w:sz w:val="20"/>
                <w:szCs w:val="20"/>
                <w:highlight w:val="cyan"/>
              </w:rPr>
              <w:t>26</w:t>
            </w:r>
          </w:p>
        </w:tc>
        <w:tc>
          <w:tcPr>
            <w:tcW w:w="4195" w:type="dxa"/>
          </w:tcPr>
          <w:p w:rsidR="00EB3739" w:rsidRPr="00AB6B26" w:rsidRDefault="00BA7058" w:rsidP="003D5E3B">
            <w:pPr>
              <w:rPr>
                <w:rFonts w:ascii="Arial" w:hAnsi="Arial" w:cs="Arial"/>
                <w:sz w:val="20"/>
                <w:szCs w:val="23"/>
                <w:highlight w:val="cyan"/>
              </w:rPr>
            </w:pPr>
            <w:r w:rsidRPr="00AB6B26">
              <w:rPr>
                <w:rFonts w:ascii="Arial" w:hAnsi="Arial" w:cs="Arial"/>
                <w:sz w:val="20"/>
                <w:szCs w:val="23"/>
                <w:highlight w:val="cyan"/>
              </w:rPr>
              <w:t>Leyes 1314 del 2009, ley 1450 del 2011, Normas NIC-SP</w:t>
            </w:r>
          </w:p>
        </w:tc>
      </w:tr>
      <w:tr w:rsidR="00CB637C" w:rsidRPr="00AB6B26" w:rsidTr="003941DA">
        <w:tc>
          <w:tcPr>
            <w:tcW w:w="536" w:type="dxa"/>
          </w:tcPr>
          <w:p w:rsidR="00CB637C" w:rsidRPr="00AB6B26" w:rsidRDefault="00CB637C" w:rsidP="0000280B">
            <w:pPr>
              <w:rPr>
                <w:rFonts w:ascii="Arial" w:hAnsi="Arial" w:cs="Arial"/>
                <w:b/>
                <w:sz w:val="20"/>
                <w:szCs w:val="20"/>
                <w:highlight w:val="cyan"/>
              </w:rPr>
            </w:pPr>
            <w:r w:rsidRPr="00AB6B26">
              <w:rPr>
                <w:rFonts w:ascii="Arial" w:hAnsi="Arial" w:cs="Arial"/>
                <w:b/>
                <w:sz w:val="20"/>
                <w:szCs w:val="20"/>
                <w:highlight w:val="cyan"/>
              </w:rPr>
              <w:t>27</w:t>
            </w:r>
          </w:p>
        </w:tc>
        <w:tc>
          <w:tcPr>
            <w:tcW w:w="4108" w:type="dxa"/>
            <w:tcBorders>
              <w:right w:val="single" w:sz="4" w:space="0" w:color="auto"/>
            </w:tcBorders>
          </w:tcPr>
          <w:p w:rsidR="00CB637C" w:rsidRPr="00AB6B26" w:rsidRDefault="00CB637C" w:rsidP="00AC634C">
            <w:pPr>
              <w:rPr>
                <w:rFonts w:ascii="Arial" w:hAnsi="Arial" w:cs="Arial"/>
                <w:sz w:val="20"/>
                <w:szCs w:val="23"/>
                <w:highlight w:val="cyan"/>
              </w:rPr>
            </w:pPr>
            <w:r w:rsidRPr="00AB6B26">
              <w:rPr>
                <w:szCs w:val="20"/>
                <w:highlight w:val="cyan"/>
              </w:rPr>
              <w:t>Ley 80 de 1993, Ley de Contratación Publica</w:t>
            </w:r>
          </w:p>
        </w:tc>
        <w:tc>
          <w:tcPr>
            <w:tcW w:w="284" w:type="dxa"/>
            <w:tcBorders>
              <w:top w:val="nil"/>
              <w:left w:val="single" w:sz="4" w:space="0" w:color="auto"/>
              <w:bottom w:val="nil"/>
              <w:right w:val="single" w:sz="4" w:space="0" w:color="auto"/>
            </w:tcBorders>
          </w:tcPr>
          <w:p w:rsidR="00CB637C" w:rsidRPr="00AB6B26" w:rsidRDefault="00CB637C" w:rsidP="0000280B">
            <w:pPr>
              <w:rPr>
                <w:rFonts w:ascii="Arial" w:hAnsi="Arial" w:cs="Arial"/>
                <w:b/>
                <w:sz w:val="20"/>
                <w:szCs w:val="20"/>
                <w:highlight w:val="cyan"/>
              </w:rPr>
            </w:pPr>
          </w:p>
        </w:tc>
        <w:tc>
          <w:tcPr>
            <w:tcW w:w="483" w:type="dxa"/>
            <w:tcBorders>
              <w:left w:val="single" w:sz="4" w:space="0" w:color="auto"/>
            </w:tcBorders>
          </w:tcPr>
          <w:p w:rsidR="00CB637C" w:rsidRPr="00AB6B26" w:rsidRDefault="00BA7058" w:rsidP="0000280B">
            <w:pPr>
              <w:rPr>
                <w:rFonts w:ascii="Arial" w:hAnsi="Arial" w:cs="Arial"/>
                <w:b/>
                <w:sz w:val="20"/>
                <w:szCs w:val="20"/>
                <w:highlight w:val="cyan"/>
              </w:rPr>
            </w:pPr>
            <w:r w:rsidRPr="00AB6B26">
              <w:rPr>
                <w:rFonts w:ascii="Arial" w:hAnsi="Arial" w:cs="Arial"/>
                <w:b/>
                <w:sz w:val="20"/>
                <w:szCs w:val="20"/>
                <w:highlight w:val="cyan"/>
              </w:rPr>
              <w:t>28</w:t>
            </w:r>
          </w:p>
        </w:tc>
        <w:tc>
          <w:tcPr>
            <w:tcW w:w="4195" w:type="dxa"/>
          </w:tcPr>
          <w:p w:rsidR="00CB637C" w:rsidRPr="00AB6B26" w:rsidRDefault="00CB637C" w:rsidP="003D5E3B">
            <w:pPr>
              <w:rPr>
                <w:szCs w:val="20"/>
                <w:highlight w:val="cyan"/>
              </w:rPr>
            </w:pPr>
            <w:r w:rsidRPr="00AB6B26">
              <w:rPr>
                <w:rFonts w:ascii="Arial" w:hAnsi="Arial" w:cs="Arial"/>
                <w:sz w:val="20"/>
                <w:szCs w:val="23"/>
                <w:highlight w:val="cyan"/>
              </w:rPr>
              <w:t>Ley 1150 de 2007, Contratación Publica</w:t>
            </w:r>
          </w:p>
        </w:tc>
      </w:tr>
      <w:tr w:rsidR="00140D3C" w:rsidRPr="00950B19" w:rsidTr="003941DA">
        <w:tc>
          <w:tcPr>
            <w:tcW w:w="536" w:type="dxa"/>
          </w:tcPr>
          <w:p w:rsidR="00140D3C" w:rsidRPr="00AB6B26" w:rsidRDefault="00140D3C" w:rsidP="0000280B">
            <w:pPr>
              <w:rPr>
                <w:rFonts w:ascii="Arial" w:hAnsi="Arial" w:cs="Arial"/>
                <w:b/>
                <w:sz w:val="20"/>
                <w:szCs w:val="20"/>
                <w:highlight w:val="cyan"/>
              </w:rPr>
            </w:pPr>
            <w:r w:rsidRPr="00AB6B26">
              <w:rPr>
                <w:rFonts w:ascii="Arial" w:hAnsi="Arial" w:cs="Arial"/>
                <w:b/>
                <w:sz w:val="20"/>
                <w:szCs w:val="20"/>
                <w:highlight w:val="cyan"/>
              </w:rPr>
              <w:t>29</w:t>
            </w:r>
          </w:p>
        </w:tc>
        <w:tc>
          <w:tcPr>
            <w:tcW w:w="4108" w:type="dxa"/>
            <w:tcBorders>
              <w:right w:val="single" w:sz="4" w:space="0" w:color="auto"/>
            </w:tcBorders>
          </w:tcPr>
          <w:p w:rsidR="00140D3C" w:rsidRPr="00AB6B26" w:rsidRDefault="00176CA3" w:rsidP="00AC634C">
            <w:pPr>
              <w:rPr>
                <w:szCs w:val="20"/>
                <w:highlight w:val="cyan"/>
              </w:rPr>
            </w:pPr>
            <w:r w:rsidRPr="00AB6B26">
              <w:rPr>
                <w:rFonts w:ascii="Arial" w:hAnsi="Arial" w:cs="Arial"/>
                <w:sz w:val="20"/>
                <w:szCs w:val="23"/>
                <w:highlight w:val="cyan"/>
              </w:rPr>
              <w:t>Ley 1380 de 2010 y Decreto 3274 de 2011. Ley de Insolvencia</w:t>
            </w:r>
          </w:p>
        </w:tc>
        <w:tc>
          <w:tcPr>
            <w:tcW w:w="284" w:type="dxa"/>
            <w:tcBorders>
              <w:top w:val="nil"/>
              <w:left w:val="single" w:sz="4" w:space="0" w:color="auto"/>
              <w:bottom w:val="nil"/>
              <w:right w:val="single" w:sz="4" w:space="0" w:color="auto"/>
            </w:tcBorders>
          </w:tcPr>
          <w:p w:rsidR="00140D3C" w:rsidRPr="00AB6B26" w:rsidRDefault="00140D3C" w:rsidP="0000280B">
            <w:pPr>
              <w:rPr>
                <w:rFonts w:ascii="Arial" w:hAnsi="Arial" w:cs="Arial"/>
                <w:b/>
                <w:sz w:val="20"/>
                <w:szCs w:val="20"/>
                <w:highlight w:val="cyan"/>
              </w:rPr>
            </w:pPr>
          </w:p>
        </w:tc>
        <w:tc>
          <w:tcPr>
            <w:tcW w:w="483" w:type="dxa"/>
            <w:tcBorders>
              <w:left w:val="single" w:sz="4" w:space="0" w:color="auto"/>
            </w:tcBorders>
          </w:tcPr>
          <w:p w:rsidR="00140D3C" w:rsidRDefault="00CF5840" w:rsidP="0000280B">
            <w:pPr>
              <w:rPr>
                <w:rFonts w:ascii="Arial" w:hAnsi="Arial" w:cs="Arial"/>
                <w:b/>
                <w:sz w:val="20"/>
                <w:szCs w:val="20"/>
              </w:rPr>
            </w:pPr>
            <w:r w:rsidRPr="00AB6B26">
              <w:rPr>
                <w:rFonts w:ascii="Arial" w:hAnsi="Arial" w:cs="Arial"/>
                <w:b/>
                <w:sz w:val="20"/>
                <w:szCs w:val="20"/>
                <w:highlight w:val="cyan"/>
              </w:rPr>
              <w:t>30</w:t>
            </w:r>
          </w:p>
        </w:tc>
        <w:tc>
          <w:tcPr>
            <w:tcW w:w="4195" w:type="dxa"/>
          </w:tcPr>
          <w:p w:rsidR="00140D3C" w:rsidRPr="00D351BC" w:rsidRDefault="00140D3C" w:rsidP="003D5E3B">
            <w:pPr>
              <w:rPr>
                <w:rFonts w:ascii="Arial" w:hAnsi="Arial" w:cs="Arial"/>
                <w:sz w:val="20"/>
                <w:szCs w:val="23"/>
              </w:rPr>
            </w:pPr>
          </w:p>
        </w:tc>
      </w:tr>
    </w:tbl>
    <w:p w:rsidR="00272084" w:rsidRDefault="00272084">
      <w:pPr>
        <w:rPr>
          <w:szCs w:val="20"/>
        </w:rPr>
      </w:pPr>
    </w:p>
    <w:sectPr w:rsidR="00272084" w:rsidSect="008D0BDE">
      <w:headerReference w:type="default" r:id="rId9"/>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7CD" w:rsidRDefault="006C17CD" w:rsidP="00412FB8">
      <w:pPr>
        <w:spacing w:after="0" w:line="240" w:lineRule="auto"/>
      </w:pPr>
      <w:r>
        <w:separator/>
      </w:r>
    </w:p>
  </w:endnote>
  <w:endnote w:type="continuationSeparator" w:id="0">
    <w:p w:rsidR="006C17CD" w:rsidRDefault="006C17CD" w:rsidP="0041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7CD" w:rsidRDefault="006C17CD" w:rsidP="00412FB8">
      <w:pPr>
        <w:spacing w:after="0" w:line="240" w:lineRule="auto"/>
      </w:pPr>
      <w:r>
        <w:separator/>
      </w:r>
    </w:p>
  </w:footnote>
  <w:footnote w:type="continuationSeparator" w:id="0">
    <w:p w:rsidR="006C17CD" w:rsidRDefault="006C17CD" w:rsidP="00412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35013"/>
      <w:docPartObj>
        <w:docPartGallery w:val="Page Numbers (Margins)"/>
        <w:docPartUnique/>
      </w:docPartObj>
    </w:sdtPr>
    <w:sdtEndPr/>
    <w:sdtContent>
      <w:p w:rsidR="00AC634C" w:rsidRDefault="00AC634C">
        <w:pPr>
          <w:pStyle w:val="Encabezado"/>
        </w:pPr>
        <w:r>
          <w:rPr>
            <w:noProof/>
            <w:lang w:eastAsia="es-CO"/>
          </w:rPr>
          <mc:AlternateContent>
            <mc:Choice Requires="wps">
              <w:drawing>
                <wp:anchor distT="0" distB="0" distL="114300" distR="114300" simplePos="0" relativeHeight="251659264" behindDoc="0" locked="0" layoutInCell="0" allowOverlap="1" wp14:anchorId="3CA37C70" wp14:editId="66E99E91">
                  <wp:simplePos x="0" y="0"/>
                  <wp:positionH relativeFrom="rightMargin">
                    <wp:align>center</wp:align>
                  </wp:positionH>
                  <wp:positionV relativeFrom="margin">
                    <wp:align>top</wp:align>
                  </wp:positionV>
                  <wp:extent cx="581025" cy="409575"/>
                  <wp:effectExtent l="0" t="0" r="0" b="0"/>
                  <wp:wrapNone/>
                  <wp:docPr id="1" name="Flecha derech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AC634C" w:rsidRDefault="00AC634C">
                              <w:pPr>
                                <w:pStyle w:val="Piedepgina"/>
                                <w:jc w:val="center"/>
                                <w:rPr>
                                  <w:color w:val="FFFFFF" w:themeColor="background1"/>
                                </w:rPr>
                              </w:pPr>
                              <w:r>
                                <w:fldChar w:fldCharType="begin"/>
                              </w:r>
                              <w:r>
                                <w:instrText>PAGE   \* MERGEFORMAT</w:instrText>
                              </w:r>
                              <w:r>
                                <w:fldChar w:fldCharType="separate"/>
                              </w:r>
                              <w:r w:rsidR="005014BE" w:rsidRPr="005014BE">
                                <w:rPr>
                                  <w:noProof/>
                                  <w:color w:val="FFFFFF" w:themeColor="background1"/>
                                  <w:lang w:val="es-ES"/>
                                </w:rPr>
                                <w:t>16</w:t>
                              </w:r>
                              <w:r>
                                <w:rPr>
                                  <w:color w:val="FFFFFF" w:themeColor="background1"/>
                                </w:rPr>
                                <w:fldChar w:fldCharType="end"/>
                              </w:r>
                            </w:p>
                            <w:p w:rsidR="00AC634C" w:rsidRDefault="00AC634C"/>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" o:allowincell="f" adj="13609,5370" fillcolor="#c0504d" stroked="f" strokecolor="#5c83b4">
                  <v:textbox inset=",0,,0">
                    <w:txbxContent>
                      <w:p w:rsidR="00AC634C" w:rsidRDefault="00AC634C">
                        <w:pPr>
                          <w:pStyle w:val="Piedepgina"/>
                          <w:jc w:val="center"/>
                          <w:rPr>
                            <w:color w:val="FFFFFF" w:themeColor="background1"/>
                          </w:rPr>
                        </w:pPr>
                        <w:r>
                          <w:fldChar w:fldCharType="begin"/>
                        </w:r>
                        <w:r>
                          <w:instrText>PAGE   \* MERGEFORMAT</w:instrText>
                        </w:r>
                        <w:r>
                          <w:fldChar w:fldCharType="separate"/>
                        </w:r>
                        <w:r w:rsidR="005014BE" w:rsidRPr="005014BE">
                          <w:rPr>
                            <w:noProof/>
                            <w:color w:val="FFFFFF" w:themeColor="background1"/>
                            <w:lang w:val="es-ES"/>
                          </w:rPr>
                          <w:t>16</w:t>
                        </w:r>
                        <w:r>
                          <w:rPr>
                            <w:color w:val="FFFFFF" w:themeColor="background1"/>
                          </w:rPr>
                          <w:fldChar w:fldCharType="end"/>
                        </w:r>
                      </w:p>
                      <w:p w:rsidR="00AC634C" w:rsidRDefault="00AC634C"/>
                    </w:txbxContent>
                  </v:textbox>
                  <w10:wrap anchorx="margin" anchory="margin"/>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2EF"/>
    <w:multiLevelType w:val="hybridMultilevel"/>
    <w:tmpl w:val="29F8975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285D84"/>
    <w:multiLevelType w:val="hybridMultilevel"/>
    <w:tmpl w:val="D08AC9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FA374CF"/>
    <w:multiLevelType w:val="hybridMultilevel"/>
    <w:tmpl w:val="2FD09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8CE1D7E"/>
    <w:multiLevelType w:val="hybridMultilevel"/>
    <w:tmpl w:val="DB0AA4BE"/>
    <w:lvl w:ilvl="0" w:tplc="5DECB6DE">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BF9204F"/>
    <w:multiLevelType w:val="multilevel"/>
    <w:tmpl w:val="FFAAA3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30CE7EC2"/>
    <w:multiLevelType w:val="hybridMultilevel"/>
    <w:tmpl w:val="788050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3AFD46AF"/>
    <w:multiLevelType w:val="hybridMultilevel"/>
    <w:tmpl w:val="DB0AA4BE"/>
    <w:lvl w:ilvl="0" w:tplc="5DECB6DE">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418A0A95"/>
    <w:multiLevelType w:val="hybridMultilevel"/>
    <w:tmpl w:val="4B208D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4C46261"/>
    <w:multiLevelType w:val="hybridMultilevel"/>
    <w:tmpl w:val="DA84BB8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68F3159"/>
    <w:multiLevelType w:val="hybridMultilevel"/>
    <w:tmpl w:val="312CAC36"/>
    <w:lvl w:ilvl="0" w:tplc="0C0A0001">
      <w:start w:val="1"/>
      <w:numFmt w:val="bullet"/>
      <w:lvlText w:val=""/>
      <w:lvlJc w:val="left"/>
      <w:pPr>
        <w:ind w:left="720" w:hanging="360"/>
      </w:pPr>
      <w:rPr>
        <w:rFonts w:ascii="Symbol" w:hAnsi="Symbol" w:hint="default"/>
      </w:rPr>
    </w:lvl>
    <w:lvl w:ilvl="1" w:tplc="31364CD0">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845849"/>
    <w:multiLevelType w:val="hybridMultilevel"/>
    <w:tmpl w:val="37EA7392"/>
    <w:lvl w:ilvl="0" w:tplc="26B69366">
      <w:start w:val="1"/>
      <w:numFmt w:val="decimal"/>
      <w:lvlText w:val="%1."/>
      <w:lvlJc w:val="left"/>
      <w:pPr>
        <w:ind w:left="1080" w:hanging="360"/>
      </w:pPr>
      <w:rPr>
        <w:rFonts w:hint="default"/>
        <w:b/>
      </w:rPr>
    </w:lvl>
    <w:lvl w:ilvl="1" w:tplc="240A0001">
      <w:start w:val="1"/>
      <w:numFmt w:val="bullet"/>
      <w:lvlText w:val=""/>
      <w:lvlJc w:val="left"/>
      <w:pPr>
        <w:ind w:left="1800" w:hanging="360"/>
      </w:pPr>
      <w:rPr>
        <w:rFonts w:ascii="Symbol" w:hAnsi="Symbol"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59960BF4"/>
    <w:multiLevelType w:val="hybridMultilevel"/>
    <w:tmpl w:val="61FA4B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06709E8"/>
    <w:multiLevelType w:val="hybridMultilevel"/>
    <w:tmpl w:val="1390BC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0EA4849"/>
    <w:multiLevelType w:val="hybridMultilevel"/>
    <w:tmpl w:val="B2FA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34C1EBD"/>
    <w:multiLevelType w:val="hybridMultilevel"/>
    <w:tmpl w:val="78B8C6AE"/>
    <w:lvl w:ilvl="0" w:tplc="A71A19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68C75AD5"/>
    <w:multiLevelType w:val="hybridMultilevel"/>
    <w:tmpl w:val="8E061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BA90D9B"/>
    <w:multiLevelType w:val="hybridMultilevel"/>
    <w:tmpl w:val="6F4A07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FB52FDE"/>
    <w:multiLevelType w:val="multilevel"/>
    <w:tmpl w:val="FFAAA3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nsid w:val="703032C7"/>
    <w:multiLevelType w:val="hybridMultilevel"/>
    <w:tmpl w:val="5CF219F8"/>
    <w:lvl w:ilvl="0" w:tplc="A16AD8AC">
      <w:start w:val="1"/>
      <w:numFmt w:val="decimal"/>
      <w:lvlText w:val="%1."/>
      <w:lvlJc w:val="left"/>
      <w:pPr>
        <w:ind w:left="720"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856512"/>
    <w:multiLevelType w:val="hybridMultilevel"/>
    <w:tmpl w:val="EAFEA2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BD7DF8"/>
    <w:multiLevelType w:val="hybridMultilevel"/>
    <w:tmpl w:val="27BEFDEC"/>
    <w:lvl w:ilvl="0" w:tplc="B8CC1998">
      <w:start w:val="1"/>
      <w:numFmt w:val="decimal"/>
      <w:lvlText w:val="%1."/>
      <w:lvlJc w:val="left"/>
      <w:pPr>
        <w:ind w:left="720" w:hanging="360"/>
      </w:pPr>
      <w:rPr>
        <w:rFonts w:ascii="Arial" w:hAnsi="Arial" w:hint="default"/>
        <w:color w:val="2121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E3460AC"/>
    <w:multiLevelType w:val="hybridMultilevel"/>
    <w:tmpl w:val="5CF219F8"/>
    <w:lvl w:ilvl="0" w:tplc="A16AD8AC">
      <w:start w:val="1"/>
      <w:numFmt w:val="decimal"/>
      <w:lvlText w:val="%1."/>
      <w:lvlJc w:val="left"/>
      <w:pPr>
        <w:ind w:left="720"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3"/>
  </w:num>
  <w:num w:numId="3">
    <w:abstractNumId w:val="18"/>
  </w:num>
  <w:num w:numId="4">
    <w:abstractNumId w:val="8"/>
  </w:num>
  <w:num w:numId="5">
    <w:abstractNumId w:val="3"/>
  </w:num>
  <w:num w:numId="6">
    <w:abstractNumId w:val="6"/>
  </w:num>
  <w:num w:numId="7">
    <w:abstractNumId w:val="0"/>
  </w:num>
  <w:num w:numId="8">
    <w:abstractNumId w:val="19"/>
  </w:num>
  <w:num w:numId="9">
    <w:abstractNumId w:val="15"/>
  </w:num>
  <w:num w:numId="10">
    <w:abstractNumId w:val="17"/>
  </w:num>
  <w:num w:numId="11">
    <w:abstractNumId w:val="14"/>
  </w:num>
  <w:num w:numId="12">
    <w:abstractNumId w:val="4"/>
  </w:num>
  <w:num w:numId="13">
    <w:abstractNumId w:val="2"/>
  </w:num>
  <w:num w:numId="14">
    <w:abstractNumId w:val="16"/>
  </w:num>
  <w:num w:numId="15">
    <w:abstractNumId w:val="10"/>
  </w:num>
  <w:num w:numId="16">
    <w:abstractNumId w:val="20"/>
  </w:num>
  <w:num w:numId="17">
    <w:abstractNumId w:val="12"/>
  </w:num>
  <w:num w:numId="18">
    <w:abstractNumId w:val="7"/>
  </w:num>
  <w:num w:numId="19">
    <w:abstractNumId w:val="1"/>
  </w:num>
  <w:num w:numId="20">
    <w:abstractNumId w:val="5"/>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5A"/>
    <w:rsid w:val="00001C6E"/>
    <w:rsid w:val="0000280B"/>
    <w:rsid w:val="0000348A"/>
    <w:rsid w:val="000044F8"/>
    <w:rsid w:val="000100B2"/>
    <w:rsid w:val="0001452E"/>
    <w:rsid w:val="00016B91"/>
    <w:rsid w:val="00022254"/>
    <w:rsid w:val="0002618C"/>
    <w:rsid w:val="00031403"/>
    <w:rsid w:val="00040253"/>
    <w:rsid w:val="00042333"/>
    <w:rsid w:val="000428D0"/>
    <w:rsid w:val="00043D06"/>
    <w:rsid w:val="00044F0B"/>
    <w:rsid w:val="0004645B"/>
    <w:rsid w:val="00046AC5"/>
    <w:rsid w:val="00056634"/>
    <w:rsid w:val="00056CCA"/>
    <w:rsid w:val="000574C0"/>
    <w:rsid w:val="0006032B"/>
    <w:rsid w:val="000604D3"/>
    <w:rsid w:val="00060851"/>
    <w:rsid w:val="0006378A"/>
    <w:rsid w:val="00075618"/>
    <w:rsid w:val="00075FF6"/>
    <w:rsid w:val="00080746"/>
    <w:rsid w:val="00082060"/>
    <w:rsid w:val="00086154"/>
    <w:rsid w:val="00087A04"/>
    <w:rsid w:val="000916AD"/>
    <w:rsid w:val="0009537C"/>
    <w:rsid w:val="000A2F15"/>
    <w:rsid w:val="000A6100"/>
    <w:rsid w:val="000A6791"/>
    <w:rsid w:val="000A69F7"/>
    <w:rsid w:val="000B4313"/>
    <w:rsid w:val="000C1A67"/>
    <w:rsid w:val="000C2B68"/>
    <w:rsid w:val="000C49BC"/>
    <w:rsid w:val="000C6FCB"/>
    <w:rsid w:val="000C7067"/>
    <w:rsid w:val="000D172D"/>
    <w:rsid w:val="000D42EB"/>
    <w:rsid w:val="000E31B5"/>
    <w:rsid w:val="000E31F9"/>
    <w:rsid w:val="000F1E70"/>
    <w:rsid w:val="000F2ADA"/>
    <w:rsid w:val="000F44DA"/>
    <w:rsid w:val="000F4C18"/>
    <w:rsid w:val="001001A2"/>
    <w:rsid w:val="001005F6"/>
    <w:rsid w:val="001010CA"/>
    <w:rsid w:val="00103564"/>
    <w:rsid w:val="00105EF3"/>
    <w:rsid w:val="00106C8E"/>
    <w:rsid w:val="00111B4C"/>
    <w:rsid w:val="00112636"/>
    <w:rsid w:val="00112EC6"/>
    <w:rsid w:val="00115192"/>
    <w:rsid w:val="00117914"/>
    <w:rsid w:val="00120436"/>
    <w:rsid w:val="001252A1"/>
    <w:rsid w:val="0012777F"/>
    <w:rsid w:val="00132FFD"/>
    <w:rsid w:val="00140D3C"/>
    <w:rsid w:val="00143F33"/>
    <w:rsid w:val="001457BD"/>
    <w:rsid w:val="00146F27"/>
    <w:rsid w:val="0014704D"/>
    <w:rsid w:val="00147C9D"/>
    <w:rsid w:val="00152DE0"/>
    <w:rsid w:val="00156973"/>
    <w:rsid w:val="0015745E"/>
    <w:rsid w:val="001577DA"/>
    <w:rsid w:val="0016227E"/>
    <w:rsid w:val="00163308"/>
    <w:rsid w:val="001636F9"/>
    <w:rsid w:val="00163A00"/>
    <w:rsid w:val="00165C3B"/>
    <w:rsid w:val="00172403"/>
    <w:rsid w:val="00173136"/>
    <w:rsid w:val="00173288"/>
    <w:rsid w:val="001744C8"/>
    <w:rsid w:val="00175C7C"/>
    <w:rsid w:val="00175E6C"/>
    <w:rsid w:val="0017697A"/>
    <w:rsid w:val="00176CA3"/>
    <w:rsid w:val="00182C06"/>
    <w:rsid w:val="001840BB"/>
    <w:rsid w:val="00186155"/>
    <w:rsid w:val="00190249"/>
    <w:rsid w:val="00191BEB"/>
    <w:rsid w:val="00192B80"/>
    <w:rsid w:val="00194454"/>
    <w:rsid w:val="00195621"/>
    <w:rsid w:val="001A0CE2"/>
    <w:rsid w:val="001A1CB5"/>
    <w:rsid w:val="001A7B1A"/>
    <w:rsid w:val="001B5D23"/>
    <w:rsid w:val="001B6745"/>
    <w:rsid w:val="001C090B"/>
    <w:rsid w:val="001C1F52"/>
    <w:rsid w:val="001C5ACB"/>
    <w:rsid w:val="001C677D"/>
    <w:rsid w:val="001C7244"/>
    <w:rsid w:val="001C74ED"/>
    <w:rsid w:val="001D1BD5"/>
    <w:rsid w:val="001D1DA2"/>
    <w:rsid w:val="001D25E7"/>
    <w:rsid w:val="001D394B"/>
    <w:rsid w:val="001D4744"/>
    <w:rsid w:val="001E2158"/>
    <w:rsid w:val="001E2D8C"/>
    <w:rsid w:val="001E5067"/>
    <w:rsid w:val="001F0418"/>
    <w:rsid w:val="001F2102"/>
    <w:rsid w:val="001F2AA5"/>
    <w:rsid w:val="001F3774"/>
    <w:rsid w:val="001F41AF"/>
    <w:rsid w:val="001F747F"/>
    <w:rsid w:val="001F7D90"/>
    <w:rsid w:val="00202251"/>
    <w:rsid w:val="00204019"/>
    <w:rsid w:val="002071A0"/>
    <w:rsid w:val="00207672"/>
    <w:rsid w:val="002078B9"/>
    <w:rsid w:val="0021118F"/>
    <w:rsid w:val="00214BC4"/>
    <w:rsid w:val="002220E3"/>
    <w:rsid w:val="0022332D"/>
    <w:rsid w:val="00223C73"/>
    <w:rsid w:val="00224AAB"/>
    <w:rsid w:val="00224D03"/>
    <w:rsid w:val="00225ADE"/>
    <w:rsid w:val="002260E0"/>
    <w:rsid w:val="00231167"/>
    <w:rsid w:val="00231A55"/>
    <w:rsid w:val="0023351B"/>
    <w:rsid w:val="002341AF"/>
    <w:rsid w:val="002346AA"/>
    <w:rsid w:val="0023547E"/>
    <w:rsid w:val="00241D24"/>
    <w:rsid w:val="002429D2"/>
    <w:rsid w:val="00243D7E"/>
    <w:rsid w:val="0024613B"/>
    <w:rsid w:val="0024721D"/>
    <w:rsid w:val="0024799A"/>
    <w:rsid w:val="00250085"/>
    <w:rsid w:val="0025035B"/>
    <w:rsid w:val="00250967"/>
    <w:rsid w:val="002509D0"/>
    <w:rsid w:val="00251906"/>
    <w:rsid w:val="0025322E"/>
    <w:rsid w:val="00253496"/>
    <w:rsid w:val="00254124"/>
    <w:rsid w:val="002571D1"/>
    <w:rsid w:val="00261A4D"/>
    <w:rsid w:val="00262C8B"/>
    <w:rsid w:val="00266C33"/>
    <w:rsid w:val="00266C9D"/>
    <w:rsid w:val="002674AA"/>
    <w:rsid w:val="00271AA0"/>
    <w:rsid w:val="00272084"/>
    <w:rsid w:val="00273214"/>
    <w:rsid w:val="00273ACE"/>
    <w:rsid w:val="002745FB"/>
    <w:rsid w:val="00281B31"/>
    <w:rsid w:val="00283421"/>
    <w:rsid w:val="00285046"/>
    <w:rsid w:val="0028588B"/>
    <w:rsid w:val="00285BBB"/>
    <w:rsid w:val="002902D9"/>
    <w:rsid w:val="002918AB"/>
    <w:rsid w:val="002943CA"/>
    <w:rsid w:val="002964CE"/>
    <w:rsid w:val="00297200"/>
    <w:rsid w:val="0029792B"/>
    <w:rsid w:val="002A2686"/>
    <w:rsid w:val="002A30BD"/>
    <w:rsid w:val="002A5E64"/>
    <w:rsid w:val="002A7D05"/>
    <w:rsid w:val="002B38FC"/>
    <w:rsid w:val="002B3966"/>
    <w:rsid w:val="002B6832"/>
    <w:rsid w:val="002C1C65"/>
    <w:rsid w:val="002C51F5"/>
    <w:rsid w:val="002C5EEC"/>
    <w:rsid w:val="002C7A5E"/>
    <w:rsid w:val="002D0AF0"/>
    <w:rsid w:val="002D2D56"/>
    <w:rsid w:val="002D7E7D"/>
    <w:rsid w:val="002E0A4B"/>
    <w:rsid w:val="002E3070"/>
    <w:rsid w:val="002E3A76"/>
    <w:rsid w:val="002E3EC1"/>
    <w:rsid w:val="002E5B13"/>
    <w:rsid w:val="002E75DB"/>
    <w:rsid w:val="002F59E9"/>
    <w:rsid w:val="00300E74"/>
    <w:rsid w:val="00303CDD"/>
    <w:rsid w:val="0030529F"/>
    <w:rsid w:val="00306F97"/>
    <w:rsid w:val="003165D7"/>
    <w:rsid w:val="0032101C"/>
    <w:rsid w:val="00323694"/>
    <w:rsid w:val="003245D8"/>
    <w:rsid w:val="003266F0"/>
    <w:rsid w:val="0032717D"/>
    <w:rsid w:val="00327869"/>
    <w:rsid w:val="003330B9"/>
    <w:rsid w:val="00342DF4"/>
    <w:rsid w:val="003433E7"/>
    <w:rsid w:val="00343942"/>
    <w:rsid w:val="00343F4B"/>
    <w:rsid w:val="00347F92"/>
    <w:rsid w:val="003504B7"/>
    <w:rsid w:val="0035109C"/>
    <w:rsid w:val="00354977"/>
    <w:rsid w:val="003559CE"/>
    <w:rsid w:val="00360294"/>
    <w:rsid w:val="00360EAD"/>
    <w:rsid w:val="003626BA"/>
    <w:rsid w:val="00363380"/>
    <w:rsid w:val="003734D8"/>
    <w:rsid w:val="0038458F"/>
    <w:rsid w:val="003854A8"/>
    <w:rsid w:val="003857BC"/>
    <w:rsid w:val="00392885"/>
    <w:rsid w:val="00393F3B"/>
    <w:rsid w:val="003941DA"/>
    <w:rsid w:val="003944D2"/>
    <w:rsid w:val="003A1892"/>
    <w:rsid w:val="003A2803"/>
    <w:rsid w:val="003A381F"/>
    <w:rsid w:val="003A3D50"/>
    <w:rsid w:val="003A5C14"/>
    <w:rsid w:val="003A74CE"/>
    <w:rsid w:val="003B05FA"/>
    <w:rsid w:val="003B169A"/>
    <w:rsid w:val="003B624B"/>
    <w:rsid w:val="003C200A"/>
    <w:rsid w:val="003C28BC"/>
    <w:rsid w:val="003C3802"/>
    <w:rsid w:val="003C6C5A"/>
    <w:rsid w:val="003D0604"/>
    <w:rsid w:val="003D0717"/>
    <w:rsid w:val="003D181A"/>
    <w:rsid w:val="003D32D1"/>
    <w:rsid w:val="003D4F56"/>
    <w:rsid w:val="003D5E3B"/>
    <w:rsid w:val="003D7C2E"/>
    <w:rsid w:val="003E0C1C"/>
    <w:rsid w:val="003E2F0B"/>
    <w:rsid w:val="003E325C"/>
    <w:rsid w:val="003E51BF"/>
    <w:rsid w:val="003E70DA"/>
    <w:rsid w:val="003F151E"/>
    <w:rsid w:val="003F1680"/>
    <w:rsid w:val="003F36EA"/>
    <w:rsid w:val="003F4C05"/>
    <w:rsid w:val="003F4D8F"/>
    <w:rsid w:val="004012A6"/>
    <w:rsid w:val="004026EC"/>
    <w:rsid w:val="00404A7C"/>
    <w:rsid w:val="00404E1D"/>
    <w:rsid w:val="00407016"/>
    <w:rsid w:val="00412FB8"/>
    <w:rsid w:val="00414996"/>
    <w:rsid w:val="004153A0"/>
    <w:rsid w:val="00416CAC"/>
    <w:rsid w:val="00420299"/>
    <w:rsid w:val="00420ECD"/>
    <w:rsid w:val="00421EF4"/>
    <w:rsid w:val="004220BD"/>
    <w:rsid w:val="00422F9A"/>
    <w:rsid w:val="00423D13"/>
    <w:rsid w:val="00426187"/>
    <w:rsid w:val="004261C3"/>
    <w:rsid w:val="00427C5A"/>
    <w:rsid w:val="00430CCD"/>
    <w:rsid w:val="0043430E"/>
    <w:rsid w:val="004431AB"/>
    <w:rsid w:val="00445AD6"/>
    <w:rsid w:val="00447F5B"/>
    <w:rsid w:val="004533DC"/>
    <w:rsid w:val="00453BA9"/>
    <w:rsid w:val="00455A82"/>
    <w:rsid w:val="00456A5F"/>
    <w:rsid w:val="0046073C"/>
    <w:rsid w:val="0046085A"/>
    <w:rsid w:val="0046109D"/>
    <w:rsid w:val="0046197E"/>
    <w:rsid w:val="004619F3"/>
    <w:rsid w:val="004626B8"/>
    <w:rsid w:val="004628CE"/>
    <w:rsid w:val="004657C4"/>
    <w:rsid w:val="00475793"/>
    <w:rsid w:val="004764FA"/>
    <w:rsid w:val="0047767E"/>
    <w:rsid w:val="00477960"/>
    <w:rsid w:val="00480DEA"/>
    <w:rsid w:val="004815EE"/>
    <w:rsid w:val="00481650"/>
    <w:rsid w:val="004821F6"/>
    <w:rsid w:val="00482DC7"/>
    <w:rsid w:val="004838CB"/>
    <w:rsid w:val="0048436D"/>
    <w:rsid w:val="00484C9A"/>
    <w:rsid w:val="00486536"/>
    <w:rsid w:val="00490D43"/>
    <w:rsid w:val="00491196"/>
    <w:rsid w:val="00491BF9"/>
    <w:rsid w:val="0049214B"/>
    <w:rsid w:val="004940FE"/>
    <w:rsid w:val="00497FCE"/>
    <w:rsid w:val="004A1973"/>
    <w:rsid w:val="004A208F"/>
    <w:rsid w:val="004A5F35"/>
    <w:rsid w:val="004C3300"/>
    <w:rsid w:val="004D6290"/>
    <w:rsid w:val="004D7D4D"/>
    <w:rsid w:val="004E12A1"/>
    <w:rsid w:val="004E1A56"/>
    <w:rsid w:val="004E28D0"/>
    <w:rsid w:val="004E5825"/>
    <w:rsid w:val="004E5B4F"/>
    <w:rsid w:val="004F202F"/>
    <w:rsid w:val="004F55B1"/>
    <w:rsid w:val="004F62DC"/>
    <w:rsid w:val="00500841"/>
    <w:rsid w:val="005014BE"/>
    <w:rsid w:val="00501B1A"/>
    <w:rsid w:val="00504A03"/>
    <w:rsid w:val="00505554"/>
    <w:rsid w:val="00506B9C"/>
    <w:rsid w:val="005075C2"/>
    <w:rsid w:val="00514D7C"/>
    <w:rsid w:val="0051634B"/>
    <w:rsid w:val="00517F79"/>
    <w:rsid w:val="005204FD"/>
    <w:rsid w:val="00523AAE"/>
    <w:rsid w:val="005256B6"/>
    <w:rsid w:val="00531C5E"/>
    <w:rsid w:val="00531D54"/>
    <w:rsid w:val="00532CDE"/>
    <w:rsid w:val="005337E5"/>
    <w:rsid w:val="00533BC3"/>
    <w:rsid w:val="005340FF"/>
    <w:rsid w:val="005341CD"/>
    <w:rsid w:val="00536E9E"/>
    <w:rsid w:val="00540642"/>
    <w:rsid w:val="0054279E"/>
    <w:rsid w:val="00543676"/>
    <w:rsid w:val="0054484D"/>
    <w:rsid w:val="0054514C"/>
    <w:rsid w:val="005466EC"/>
    <w:rsid w:val="00554DE1"/>
    <w:rsid w:val="00555919"/>
    <w:rsid w:val="00555F1C"/>
    <w:rsid w:val="00556384"/>
    <w:rsid w:val="00556F97"/>
    <w:rsid w:val="0056056E"/>
    <w:rsid w:val="00560F5E"/>
    <w:rsid w:val="0056363B"/>
    <w:rsid w:val="00565B17"/>
    <w:rsid w:val="005663F7"/>
    <w:rsid w:val="00570925"/>
    <w:rsid w:val="00571DA4"/>
    <w:rsid w:val="0057210A"/>
    <w:rsid w:val="00575A20"/>
    <w:rsid w:val="00575C75"/>
    <w:rsid w:val="00575FB1"/>
    <w:rsid w:val="00577291"/>
    <w:rsid w:val="00580AE2"/>
    <w:rsid w:val="00581C51"/>
    <w:rsid w:val="00583808"/>
    <w:rsid w:val="00583A22"/>
    <w:rsid w:val="00584D55"/>
    <w:rsid w:val="00585E06"/>
    <w:rsid w:val="00586BD6"/>
    <w:rsid w:val="00590F7C"/>
    <w:rsid w:val="0059437B"/>
    <w:rsid w:val="005A1772"/>
    <w:rsid w:val="005B27CE"/>
    <w:rsid w:val="005B5BBA"/>
    <w:rsid w:val="005C061C"/>
    <w:rsid w:val="005C1A08"/>
    <w:rsid w:val="005C1EDC"/>
    <w:rsid w:val="005C3F22"/>
    <w:rsid w:val="005C7FA2"/>
    <w:rsid w:val="005D5415"/>
    <w:rsid w:val="005D6679"/>
    <w:rsid w:val="005D79A8"/>
    <w:rsid w:val="005D7DD4"/>
    <w:rsid w:val="005E06A0"/>
    <w:rsid w:val="005E598B"/>
    <w:rsid w:val="005F0AB9"/>
    <w:rsid w:val="005F1928"/>
    <w:rsid w:val="005F2F6C"/>
    <w:rsid w:val="005F34D9"/>
    <w:rsid w:val="005F5711"/>
    <w:rsid w:val="005F7D6B"/>
    <w:rsid w:val="00601E71"/>
    <w:rsid w:val="00604B7F"/>
    <w:rsid w:val="0061036B"/>
    <w:rsid w:val="00611CB4"/>
    <w:rsid w:val="00613A5F"/>
    <w:rsid w:val="006173D7"/>
    <w:rsid w:val="0063298F"/>
    <w:rsid w:val="0063455A"/>
    <w:rsid w:val="0063479A"/>
    <w:rsid w:val="00643929"/>
    <w:rsid w:val="006450AA"/>
    <w:rsid w:val="0065019A"/>
    <w:rsid w:val="0065401F"/>
    <w:rsid w:val="0065741E"/>
    <w:rsid w:val="0065767C"/>
    <w:rsid w:val="00662707"/>
    <w:rsid w:val="00664E77"/>
    <w:rsid w:val="00666558"/>
    <w:rsid w:val="0066698E"/>
    <w:rsid w:val="006758DB"/>
    <w:rsid w:val="00681EE3"/>
    <w:rsid w:val="00682D5A"/>
    <w:rsid w:val="00685F76"/>
    <w:rsid w:val="0068601F"/>
    <w:rsid w:val="0069099C"/>
    <w:rsid w:val="006944BD"/>
    <w:rsid w:val="00696752"/>
    <w:rsid w:val="00696AE7"/>
    <w:rsid w:val="00697095"/>
    <w:rsid w:val="006A05A6"/>
    <w:rsid w:val="006A5216"/>
    <w:rsid w:val="006A7A1D"/>
    <w:rsid w:val="006A7CE0"/>
    <w:rsid w:val="006B104D"/>
    <w:rsid w:val="006B3220"/>
    <w:rsid w:val="006B4513"/>
    <w:rsid w:val="006C17CD"/>
    <w:rsid w:val="006C1E69"/>
    <w:rsid w:val="006C27E2"/>
    <w:rsid w:val="006C4B47"/>
    <w:rsid w:val="006C6E3D"/>
    <w:rsid w:val="006D0927"/>
    <w:rsid w:val="006D1B08"/>
    <w:rsid w:val="006D2315"/>
    <w:rsid w:val="006D2EE7"/>
    <w:rsid w:val="006D45D4"/>
    <w:rsid w:val="006D4E52"/>
    <w:rsid w:val="006D4EDF"/>
    <w:rsid w:val="006E44FB"/>
    <w:rsid w:val="006E5B8F"/>
    <w:rsid w:val="006F3C79"/>
    <w:rsid w:val="006F408C"/>
    <w:rsid w:val="006F611A"/>
    <w:rsid w:val="006F67AA"/>
    <w:rsid w:val="0070054B"/>
    <w:rsid w:val="0070123A"/>
    <w:rsid w:val="00705E92"/>
    <w:rsid w:val="0070628B"/>
    <w:rsid w:val="007111B7"/>
    <w:rsid w:val="00711A11"/>
    <w:rsid w:val="00711D63"/>
    <w:rsid w:val="00714404"/>
    <w:rsid w:val="0072168E"/>
    <w:rsid w:val="007222E6"/>
    <w:rsid w:val="00722856"/>
    <w:rsid w:val="00727592"/>
    <w:rsid w:val="00731CE5"/>
    <w:rsid w:val="007332C8"/>
    <w:rsid w:val="00734749"/>
    <w:rsid w:val="007425F6"/>
    <w:rsid w:val="007430A6"/>
    <w:rsid w:val="00745721"/>
    <w:rsid w:val="00745A3A"/>
    <w:rsid w:val="00746692"/>
    <w:rsid w:val="00747DAD"/>
    <w:rsid w:val="00750428"/>
    <w:rsid w:val="00751178"/>
    <w:rsid w:val="00754F26"/>
    <w:rsid w:val="007601EB"/>
    <w:rsid w:val="00761679"/>
    <w:rsid w:val="00763B81"/>
    <w:rsid w:val="00763F91"/>
    <w:rsid w:val="00764266"/>
    <w:rsid w:val="00764A80"/>
    <w:rsid w:val="00766DC3"/>
    <w:rsid w:val="00767008"/>
    <w:rsid w:val="0077070F"/>
    <w:rsid w:val="007718BD"/>
    <w:rsid w:val="00771C60"/>
    <w:rsid w:val="00771C7A"/>
    <w:rsid w:val="0077202F"/>
    <w:rsid w:val="00773907"/>
    <w:rsid w:val="007777BF"/>
    <w:rsid w:val="00783D09"/>
    <w:rsid w:val="00783E2C"/>
    <w:rsid w:val="00784036"/>
    <w:rsid w:val="00784713"/>
    <w:rsid w:val="0078749B"/>
    <w:rsid w:val="00787941"/>
    <w:rsid w:val="007920C1"/>
    <w:rsid w:val="0079231E"/>
    <w:rsid w:val="0079476E"/>
    <w:rsid w:val="00795CF7"/>
    <w:rsid w:val="00796139"/>
    <w:rsid w:val="007A1139"/>
    <w:rsid w:val="007A1E64"/>
    <w:rsid w:val="007A2CDF"/>
    <w:rsid w:val="007A2D17"/>
    <w:rsid w:val="007A3FD9"/>
    <w:rsid w:val="007A5C78"/>
    <w:rsid w:val="007A69AC"/>
    <w:rsid w:val="007B0FBF"/>
    <w:rsid w:val="007B2228"/>
    <w:rsid w:val="007B5112"/>
    <w:rsid w:val="007B53B8"/>
    <w:rsid w:val="007B5B1B"/>
    <w:rsid w:val="007B694B"/>
    <w:rsid w:val="007C1283"/>
    <w:rsid w:val="007C5A55"/>
    <w:rsid w:val="007D0BF7"/>
    <w:rsid w:val="007D3F8C"/>
    <w:rsid w:val="007D77F3"/>
    <w:rsid w:val="007D7B57"/>
    <w:rsid w:val="007E0E85"/>
    <w:rsid w:val="007E23B2"/>
    <w:rsid w:val="007E2F62"/>
    <w:rsid w:val="007E3F56"/>
    <w:rsid w:val="007E4083"/>
    <w:rsid w:val="007F0300"/>
    <w:rsid w:val="007F5EEE"/>
    <w:rsid w:val="00806FB2"/>
    <w:rsid w:val="008075B4"/>
    <w:rsid w:val="00810F83"/>
    <w:rsid w:val="008117D1"/>
    <w:rsid w:val="00814754"/>
    <w:rsid w:val="0081491E"/>
    <w:rsid w:val="00822322"/>
    <w:rsid w:val="00822B46"/>
    <w:rsid w:val="00824BA4"/>
    <w:rsid w:val="00824C14"/>
    <w:rsid w:val="00825D5E"/>
    <w:rsid w:val="00830BF1"/>
    <w:rsid w:val="0083202F"/>
    <w:rsid w:val="008333B7"/>
    <w:rsid w:val="0083382E"/>
    <w:rsid w:val="0083676D"/>
    <w:rsid w:val="008374CD"/>
    <w:rsid w:val="00840155"/>
    <w:rsid w:val="00840828"/>
    <w:rsid w:val="00843448"/>
    <w:rsid w:val="0084384B"/>
    <w:rsid w:val="00843DD8"/>
    <w:rsid w:val="00845B62"/>
    <w:rsid w:val="008469C9"/>
    <w:rsid w:val="00846FBA"/>
    <w:rsid w:val="00850F0A"/>
    <w:rsid w:val="008515B7"/>
    <w:rsid w:val="008523F7"/>
    <w:rsid w:val="00853883"/>
    <w:rsid w:val="00853B44"/>
    <w:rsid w:val="00855482"/>
    <w:rsid w:val="008617FD"/>
    <w:rsid w:val="008635ED"/>
    <w:rsid w:val="00863663"/>
    <w:rsid w:val="00865FDA"/>
    <w:rsid w:val="00872015"/>
    <w:rsid w:val="00873180"/>
    <w:rsid w:val="00873AFF"/>
    <w:rsid w:val="00881522"/>
    <w:rsid w:val="0088191C"/>
    <w:rsid w:val="008849AE"/>
    <w:rsid w:val="00886A07"/>
    <w:rsid w:val="008878D6"/>
    <w:rsid w:val="00891D30"/>
    <w:rsid w:val="00892B16"/>
    <w:rsid w:val="008941C2"/>
    <w:rsid w:val="008A2101"/>
    <w:rsid w:val="008A251C"/>
    <w:rsid w:val="008A4505"/>
    <w:rsid w:val="008A5624"/>
    <w:rsid w:val="008A7054"/>
    <w:rsid w:val="008A70B3"/>
    <w:rsid w:val="008B0702"/>
    <w:rsid w:val="008B45A1"/>
    <w:rsid w:val="008B5BD9"/>
    <w:rsid w:val="008B5C03"/>
    <w:rsid w:val="008C08D5"/>
    <w:rsid w:val="008C090B"/>
    <w:rsid w:val="008C1566"/>
    <w:rsid w:val="008C1D6B"/>
    <w:rsid w:val="008C42A8"/>
    <w:rsid w:val="008C54D5"/>
    <w:rsid w:val="008C61F6"/>
    <w:rsid w:val="008C7DAA"/>
    <w:rsid w:val="008D0BDE"/>
    <w:rsid w:val="008D3BCB"/>
    <w:rsid w:val="008D3D96"/>
    <w:rsid w:val="008D5FAE"/>
    <w:rsid w:val="008E11B9"/>
    <w:rsid w:val="008E41FC"/>
    <w:rsid w:val="008E7960"/>
    <w:rsid w:val="008E7ED2"/>
    <w:rsid w:val="008F0991"/>
    <w:rsid w:val="008F29EB"/>
    <w:rsid w:val="008F59B8"/>
    <w:rsid w:val="009009B3"/>
    <w:rsid w:val="00900F0E"/>
    <w:rsid w:val="009017BF"/>
    <w:rsid w:val="009031A6"/>
    <w:rsid w:val="0090451C"/>
    <w:rsid w:val="0090550C"/>
    <w:rsid w:val="00905875"/>
    <w:rsid w:val="009075CC"/>
    <w:rsid w:val="009114EF"/>
    <w:rsid w:val="0091383C"/>
    <w:rsid w:val="0092164F"/>
    <w:rsid w:val="00924D7E"/>
    <w:rsid w:val="009353AA"/>
    <w:rsid w:val="00936064"/>
    <w:rsid w:val="0093756E"/>
    <w:rsid w:val="0094712E"/>
    <w:rsid w:val="00947CCD"/>
    <w:rsid w:val="0095001D"/>
    <w:rsid w:val="00950B19"/>
    <w:rsid w:val="00954148"/>
    <w:rsid w:val="00954909"/>
    <w:rsid w:val="00955762"/>
    <w:rsid w:val="009563C3"/>
    <w:rsid w:val="00956FF7"/>
    <w:rsid w:val="00957FA9"/>
    <w:rsid w:val="00962064"/>
    <w:rsid w:val="0096273F"/>
    <w:rsid w:val="00966A5C"/>
    <w:rsid w:val="00972355"/>
    <w:rsid w:val="00976A64"/>
    <w:rsid w:val="00981AC2"/>
    <w:rsid w:val="009828C0"/>
    <w:rsid w:val="00983D5D"/>
    <w:rsid w:val="00986F05"/>
    <w:rsid w:val="00991832"/>
    <w:rsid w:val="009954C2"/>
    <w:rsid w:val="009962A9"/>
    <w:rsid w:val="00996B76"/>
    <w:rsid w:val="009A1525"/>
    <w:rsid w:val="009A2A4E"/>
    <w:rsid w:val="009A511C"/>
    <w:rsid w:val="009A589D"/>
    <w:rsid w:val="009A61E5"/>
    <w:rsid w:val="009A6B89"/>
    <w:rsid w:val="009A734C"/>
    <w:rsid w:val="009B0F35"/>
    <w:rsid w:val="009B1D5C"/>
    <w:rsid w:val="009B2903"/>
    <w:rsid w:val="009B4FAA"/>
    <w:rsid w:val="009B67D0"/>
    <w:rsid w:val="009C3B6F"/>
    <w:rsid w:val="009C569D"/>
    <w:rsid w:val="009C7F8C"/>
    <w:rsid w:val="009D0755"/>
    <w:rsid w:val="009D119B"/>
    <w:rsid w:val="009D227B"/>
    <w:rsid w:val="009D5E73"/>
    <w:rsid w:val="009D69FE"/>
    <w:rsid w:val="009D6A94"/>
    <w:rsid w:val="009E1C0D"/>
    <w:rsid w:val="009E2618"/>
    <w:rsid w:val="009E53F3"/>
    <w:rsid w:val="009F3050"/>
    <w:rsid w:val="009F40A0"/>
    <w:rsid w:val="00A020D6"/>
    <w:rsid w:val="00A03A2A"/>
    <w:rsid w:val="00A03F84"/>
    <w:rsid w:val="00A06CF2"/>
    <w:rsid w:val="00A06FF2"/>
    <w:rsid w:val="00A1010A"/>
    <w:rsid w:val="00A13326"/>
    <w:rsid w:val="00A15894"/>
    <w:rsid w:val="00A20075"/>
    <w:rsid w:val="00A20363"/>
    <w:rsid w:val="00A2059A"/>
    <w:rsid w:val="00A21331"/>
    <w:rsid w:val="00A222FC"/>
    <w:rsid w:val="00A23067"/>
    <w:rsid w:val="00A24E84"/>
    <w:rsid w:val="00A25621"/>
    <w:rsid w:val="00A257AF"/>
    <w:rsid w:val="00A25CA6"/>
    <w:rsid w:val="00A312B7"/>
    <w:rsid w:val="00A31BED"/>
    <w:rsid w:val="00A3339C"/>
    <w:rsid w:val="00A371ED"/>
    <w:rsid w:val="00A42530"/>
    <w:rsid w:val="00A446CF"/>
    <w:rsid w:val="00A51D9F"/>
    <w:rsid w:val="00A52EAC"/>
    <w:rsid w:val="00A54A15"/>
    <w:rsid w:val="00A574AD"/>
    <w:rsid w:val="00A60408"/>
    <w:rsid w:val="00A6145C"/>
    <w:rsid w:val="00A61CF7"/>
    <w:rsid w:val="00A644F7"/>
    <w:rsid w:val="00A65034"/>
    <w:rsid w:val="00A656FE"/>
    <w:rsid w:val="00A66E3C"/>
    <w:rsid w:val="00A678FC"/>
    <w:rsid w:val="00A735DD"/>
    <w:rsid w:val="00A764DA"/>
    <w:rsid w:val="00A77453"/>
    <w:rsid w:val="00A81843"/>
    <w:rsid w:val="00A82778"/>
    <w:rsid w:val="00A84DBE"/>
    <w:rsid w:val="00A85369"/>
    <w:rsid w:val="00A85F27"/>
    <w:rsid w:val="00A86CEC"/>
    <w:rsid w:val="00A90351"/>
    <w:rsid w:val="00A912E3"/>
    <w:rsid w:val="00A931D4"/>
    <w:rsid w:val="00A93E64"/>
    <w:rsid w:val="00A95EF6"/>
    <w:rsid w:val="00A9653B"/>
    <w:rsid w:val="00A96E89"/>
    <w:rsid w:val="00A97E9B"/>
    <w:rsid w:val="00AA13FD"/>
    <w:rsid w:val="00AB002A"/>
    <w:rsid w:val="00AB083B"/>
    <w:rsid w:val="00AB3286"/>
    <w:rsid w:val="00AB4890"/>
    <w:rsid w:val="00AB6A56"/>
    <w:rsid w:val="00AB6B26"/>
    <w:rsid w:val="00AC1369"/>
    <w:rsid w:val="00AC3E31"/>
    <w:rsid w:val="00AC634C"/>
    <w:rsid w:val="00AD0138"/>
    <w:rsid w:val="00AD4080"/>
    <w:rsid w:val="00AD4729"/>
    <w:rsid w:val="00AD5BD0"/>
    <w:rsid w:val="00AD5D97"/>
    <w:rsid w:val="00AE0078"/>
    <w:rsid w:val="00AE090D"/>
    <w:rsid w:val="00AE1946"/>
    <w:rsid w:val="00AE725A"/>
    <w:rsid w:val="00AF43D6"/>
    <w:rsid w:val="00AF44BF"/>
    <w:rsid w:val="00B0430E"/>
    <w:rsid w:val="00B11B0F"/>
    <w:rsid w:val="00B11DC9"/>
    <w:rsid w:val="00B11F96"/>
    <w:rsid w:val="00B124B2"/>
    <w:rsid w:val="00B15A2D"/>
    <w:rsid w:val="00B17FC5"/>
    <w:rsid w:val="00B21EBE"/>
    <w:rsid w:val="00B2236B"/>
    <w:rsid w:val="00B24916"/>
    <w:rsid w:val="00B25806"/>
    <w:rsid w:val="00B259A0"/>
    <w:rsid w:val="00B276A7"/>
    <w:rsid w:val="00B27FD9"/>
    <w:rsid w:val="00B34552"/>
    <w:rsid w:val="00B36BB5"/>
    <w:rsid w:val="00B431F4"/>
    <w:rsid w:val="00B435E2"/>
    <w:rsid w:val="00B44101"/>
    <w:rsid w:val="00B5004C"/>
    <w:rsid w:val="00B50D66"/>
    <w:rsid w:val="00B52AA8"/>
    <w:rsid w:val="00B53072"/>
    <w:rsid w:val="00B54F1A"/>
    <w:rsid w:val="00B55A14"/>
    <w:rsid w:val="00B61B27"/>
    <w:rsid w:val="00B64239"/>
    <w:rsid w:val="00B642D6"/>
    <w:rsid w:val="00B6563A"/>
    <w:rsid w:val="00B67A8E"/>
    <w:rsid w:val="00B67CCB"/>
    <w:rsid w:val="00B7187F"/>
    <w:rsid w:val="00B71B4F"/>
    <w:rsid w:val="00B7232F"/>
    <w:rsid w:val="00B73114"/>
    <w:rsid w:val="00B73CC3"/>
    <w:rsid w:val="00B75725"/>
    <w:rsid w:val="00B80624"/>
    <w:rsid w:val="00B80A70"/>
    <w:rsid w:val="00B812CC"/>
    <w:rsid w:val="00B81B3A"/>
    <w:rsid w:val="00B81F56"/>
    <w:rsid w:val="00B84C3C"/>
    <w:rsid w:val="00B8657E"/>
    <w:rsid w:val="00B87100"/>
    <w:rsid w:val="00B87D23"/>
    <w:rsid w:val="00B91BCD"/>
    <w:rsid w:val="00B94F69"/>
    <w:rsid w:val="00B974D0"/>
    <w:rsid w:val="00BA16B4"/>
    <w:rsid w:val="00BA1C2D"/>
    <w:rsid w:val="00BA3A56"/>
    <w:rsid w:val="00BA4D85"/>
    <w:rsid w:val="00BA4F6F"/>
    <w:rsid w:val="00BA6DA8"/>
    <w:rsid w:val="00BA7058"/>
    <w:rsid w:val="00BB1900"/>
    <w:rsid w:val="00BB5379"/>
    <w:rsid w:val="00BD004A"/>
    <w:rsid w:val="00BD0D39"/>
    <w:rsid w:val="00BD0FDD"/>
    <w:rsid w:val="00BD5D2B"/>
    <w:rsid w:val="00BE20AC"/>
    <w:rsid w:val="00BE275A"/>
    <w:rsid w:val="00BE27E7"/>
    <w:rsid w:val="00BE57F1"/>
    <w:rsid w:val="00BE6DBE"/>
    <w:rsid w:val="00BE727A"/>
    <w:rsid w:val="00BF0896"/>
    <w:rsid w:val="00BF4FA5"/>
    <w:rsid w:val="00BF6F7F"/>
    <w:rsid w:val="00BF7F35"/>
    <w:rsid w:val="00C03AD4"/>
    <w:rsid w:val="00C04FD2"/>
    <w:rsid w:val="00C05AC0"/>
    <w:rsid w:val="00C113DE"/>
    <w:rsid w:val="00C141A8"/>
    <w:rsid w:val="00C15B03"/>
    <w:rsid w:val="00C16458"/>
    <w:rsid w:val="00C16BCE"/>
    <w:rsid w:val="00C208C6"/>
    <w:rsid w:val="00C319D1"/>
    <w:rsid w:val="00C32FBF"/>
    <w:rsid w:val="00C35226"/>
    <w:rsid w:val="00C359A4"/>
    <w:rsid w:val="00C3609D"/>
    <w:rsid w:val="00C36611"/>
    <w:rsid w:val="00C42F61"/>
    <w:rsid w:val="00C441FD"/>
    <w:rsid w:val="00C455CB"/>
    <w:rsid w:val="00C456E1"/>
    <w:rsid w:val="00C47007"/>
    <w:rsid w:val="00C50475"/>
    <w:rsid w:val="00C509FD"/>
    <w:rsid w:val="00C53A88"/>
    <w:rsid w:val="00C54097"/>
    <w:rsid w:val="00C57FEB"/>
    <w:rsid w:val="00C61A68"/>
    <w:rsid w:val="00C63132"/>
    <w:rsid w:val="00C63D93"/>
    <w:rsid w:val="00C641D0"/>
    <w:rsid w:val="00C64C8B"/>
    <w:rsid w:val="00C65487"/>
    <w:rsid w:val="00C6698D"/>
    <w:rsid w:val="00C71F85"/>
    <w:rsid w:val="00C765EB"/>
    <w:rsid w:val="00C85F7A"/>
    <w:rsid w:val="00C87511"/>
    <w:rsid w:val="00C87B64"/>
    <w:rsid w:val="00C90CB8"/>
    <w:rsid w:val="00C91716"/>
    <w:rsid w:val="00C93139"/>
    <w:rsid w:val="00C93E2E"/>
    <w:rsid w:val="00C94332"/>
    <w:rsid w:val="00CA0E77"/>
    <w:rsid w:val="00CA173B"/>
    <w:rsid w:val="00CA285A"/>
    <w:rsid w:val="00CA48AE"/>
    <w:rsid w:val="00CA5287"/>
    <w:rsid w:val="00CA5F90"/>
    <w:rsid w:val="00CB0A92"/>
    <w:rsid w:val="00CB5E43"/>
    <w:rsid w:val="00CB6154"/>
    <w:rsid w:val="00CB61DD"/>
    <w:rsid w:val="00CB637C"/>
    <w:rsid w:val="00CB6D96"/>
    <w:rsid w:val="00CC4864"/>
    <w:rsid w:val="00CC600A"/>
    <w:rsid w:val="00CC7763"/>
    <w:rsid w:val="00CC7E81"/>
    <w:rsid w:val="00CD139B"/>
    <w:rsid w:val="00CD2111"/>
    <w:rsid w:val="00CD38FC"/>
    <w:rsid w:val="00CD4714"/>
    <w:rsid w:val="00CE023D"/>
    <w:rsid w:val="00CE25FF"/>
    <w:rsid w:val="00CF0C3C"/>
    <w:rsid w:val="00CF187F"/>
    <w:rsid w:val="00CF4643"/>
    <w:rsid w:val="00CF5840"/>
    <w:rsid w:val="00D01930"/>
    <w:rsid w:val="00D0303C"/>
    <w:rsid w:val="00D04040"/>
    <w:rsid w:val="00D041C7"/>
    <w:rsid w:val="00D10803"/>
    <w:rsid w:val="00D11776"/>
    <w:rsid w:val="00D117C0"/>
    <w:rsid w:val="00D166B0"/>
    <w:rsid w:val="00D16C8B"/>
    <w:rsid w:val="00D17555"/>
    <w:rsid w:val="00D17B72"/>
    <w:rsid w:val="00D33088"/>
    <w:rsid w:val="00D351BC"/>
    <w:rsid w:val="00D36113"/>
    <w:rsid w:val="00D37450"/>
    <w:rsid w:val="00D37D41"/>
    <w:rsid w:val="00D43C24"/>
    <w:rsid w:val="00D45AAE"/>
    <w:rsid w:val="00D46032"/>
    <w:rsid w:val="00D4748D"/>
    <w:rsid w:val="00D52F3D"/>
    <w:rsid w:val="00D55B7E"/>
    <w:rsid w:val="00D55E76"/>
    <w:rsid w:val="00D61CB7"/>
    <w:rsid w:val="00D61DA5"/>
    <w:rsid w:val="00D61FA1"/>
    <w:rsid w:val="00D632B6"/>
    <w:rsid w:val="00D66A0D"/>
    <w:rsid w:val="00D66E05"/>
    <w:rsid w:val="00D67C6D"/>
    <w:rsid w:val="00D71BA6"/>
    <w:rsid w:val="00D80A72"/>
    <w:rsid w:val="00D80C65"/>
    <w:rsid w:val="00D82805"/>
    <w:rsid w:val="00D82C7D"/>
    <w:rsid w:val="00D848D3"/>
    <w:rsid w:val="00D8539F"/>
    <w:rsid w:val="00D91C14"/>
    <w:rsid w:val="00D969A0"/>
    <w:rsid w:val="00D97238"/>
    <w:rsid w:val="00D97772"/>
    <w:rsid w:val="00D97829"/>
    <w:rsid w:val="00DA5743"/>
    <w:rsid w:val="00DA70B1"/>
    <w:rsid w:val="00DA7C96"/>
    <w:rsid w:val="00DB05CB"/>
    <w:rsid w:val="00DB17D0"/>
    <w:rsid w:val="00DB3FC9"/>
    <w:rsid w:val="00DC1D0F"/>
    <w:rsid w:val="00DC1F66"/>
    <w:rsid w:val="00DC520A"/>
    <w:rsid w:val="00DC6726"/>
    <w:rsid w:val="00DC6EE2"/>
    <w:rsid w:val="00DD0D48"/>
    <w:rsid w:val="00DD2D2F"/>
    <w:rsid w:val="00DD6D88"/>
    <w:rsid w:val="00DE7AFC"/>
    <w:rsid w:val="00DF03B6"/>
    <w:rsid w:val="00DF121E"/>
    <w:rsid w:val="00DF1389"/>
    <w:rsid w:val="00DF3852"/>
    <w:rsid w:val="00E0112F"/>
    <w:rsid w:val="00E10AD3"/>
    <w:rsid w:val="00E11DDE"/>
    <w:rsid w:val="00E12271"/>
    <w:rsid w:val="00E12520"/>
    <w:rsid w:val="00E1274F"/>
    <w:rsid w:val="00E14D2A"/>
    <w:rsid w:val="00E15BD4"/>
    <w:rsid w:val="00E16327"/>
    <w:rsid w:val="00E16881"/>
    <w:rsid w:val="00E17C44"/>
    <w:rsid w:val="00E20FED"/>
    <w:rsid w:val="00E212FD"/>
    <w:rsid w:val="00E23F17"/>
    <w:rsid w:val="00E268A2"/>
    <w:rsid w:val="00E305A1"/>
    <w:rsid w:val="00E30D0E"/>
    <w:rsid w:val="00E31848"/>
    <w:rsid w:val="00E31E2F"/>
    <w:rsid w:val="00E33EE0"/>
    <w:rsid w:val="00E35ED1"/>
    <w:rsid w:val="00E3645D"/>
    <w:rsid w:val="00E36E9C"/>
    <w:rsid w:val="00E36FDB"/>
    <w:rsid w:val="00E37CE5"/>
    <w:rsid w:val="00E41C71"/>
    <w:rsid w:val="00E41F94"/>
    <w:rsid w:val="00E4408D"/>
    <w:rsid w:val="00E4670E"/>
    <w:rsid w:val="00E5537B"/>
    <w:rsid w:val="00E55969"/>
    <w:rsid w:val="00E55E4B"/>
    <w:rsid w:val="00E56A58"/>
    <w:rsid w:val="00E611F1"/>
    <w:rsid w:val="00E663C3"/>
    <w:rsid w:val="00E723B1"/>
    <w:rsid w:val="00E74A7A"/>
    <w:rsid w:val="00E77C48"/>
    <w:rsid w:val="00E8355C"/>
    <w:rsid w:val="00E83D4D"/>
    <w:rsid w:val="00E840ED"/>
    <w:rsid w:val="00E86325"/>
    <w:rsid w:val="00E91A50"/>
    <w:rsid w:val="00E942FA"/>
    <w:rsid w:val="00E94EAC"/>
    <w:rsid w:val="00E970E2"/>
    <w:rsid w:val="00EA0B12"/>
    <w:rsid w:val="00EA0F91"/>
    <w:rsid w:val="00EA1AAD"/>
    <w:rsid w:val="00EA25CA"/>
    <w:rsid w:val="00EA46EF"/>
    <w:rsid w:val="00EA48E3"/>
    <w:rsid w:val="00EA6B3F"/>
    <w:rsid w:val="00EA768B"/>
    <w:rsid w:val="00EA7765"/>
    <w:rsid w:val="00EA7C3B"/>
    <w:rsid w:val="00EB21E9"/>
    <w:rsid w:val="00EB2362"/>
    <w:rsid w:val="00EB3739"/>
    <w:rsid w:val="00EB703E"/>
    <w:rsid w:val="00EC080A"/>
    <w:rsid w:val="00EC172F"/>
    <w:rsid w:val="00EC2CA7"/>
    <w:rsid w:val="00EC37BD"/>
    <w:rsid w:val="00EC5B75"/>
    <w:rsid w:val="00ED5E07"/>
    <w:rsid w:val="00ED7862"/>
    <w:rsid w:val="00ED7DFF"/>
    <w:rsid w:val="00EE0770"/>
    <w:rsid w:val="00EE2C89"/>
    <w:rsid w:val="00EE4B58"/>
    <w:rsid w:val="00EE7892"/>
    <w:rsid w:val="00EF11D4"/>
    <w:rsid w:val="00EF3DC9"/>
    <w:rsid w:val="00EF5ABF"/>
    <w:rsid w:val="00EF7889"/>
    <w:rsid w:val="00F0116D"/>
    <w:rsid w:val="00F01BB8"/>
    <w:rsid w:val="00F030E7"/>
    <w:rsid w:val="00F07D81"/>
    <w:rsid w:val="00F11DA2"/>
    <w:rsid w:val="00F1241A"/>
    <w:rsid w:val="00F12B55"/>
    <w:rsid w:val="00F12FF0"/>
    <w:rsid w:val="00F13151"/>
    <w:rsid w:val="00F13CBD"/>
    <w:rsid w:val="00F17883"/>
    <w:rsid w:val="00F247D4"/>
    <w:rsid w:val="00F251B3"/>
    <w:rsid w:val="00F3480E"/>
    <w:rsid w:val="00F352A4"/>
    <w:rsid w:val="00F40862"/>
    <w:rsid w:val="00F43D54"/>
    <w:rsid w:val="00F4423A"/>
    <w:rsid w:val="00F44E61"/>
    <w:rsid w:val="00F5066C"/>
    <w:rsid w:val="00F52578"/>
    <w:rsid w:val="00F53890"/>
    <w:rsid w:val="00F53F0B"/>
    <w:rsid w:val="00F560A5"/>
    <w:rsid w:val="00F564EC"/>
    <w:rsid w:val="00F60B27"/>
    <w:rsid w:val="00F619DC"/>
    <w:rsid w:val="00F625C8"/>
    <w:rsid w:val="00F62EEA"/>
    <w:rsid w:val="00F6318B"/>
    <w:rsid w:val="00F666CA"/>
    <w:rsid w:val="00F6736E"/>
    <w:rsid w:val="00F73233"/>
    <w:rsid w:val="00F7763B"/>
    <w:rsid w:val="00F8308F"/>
    <w:rsid w:val="00F83758"/>
    <w:rsid w:val="00F852B4"/>
    <w:rsid w:val="00F87C4C"/>
    <w:rsid w:val="00F87E25"/>
    <w:rsid w:val="00F940B8"/>
    <w:rsid w:val="00F9426E"/>
    <w:rsid w:val="00F94B66"/>
    <w:rsid w:val="00F96E08"/>
    <w:rsid w:val="00FA36C8"/>
    <w:rsid w:val="00FA4292"/>
    <w:rsid w:val="00FB1E82"/>
    <w:rsid w:val="00FB6092"/>
    <w:rsid w:val="00FC2DFE"/>
    <w:rsid w:val="00FC30FA"/>
    <w:rsid w:val="00FC66C5"/>
    <w:rsid w:val="00FD0450"/>
    <w:rsid w:val="00FD1E19"/>
    <w:rsid w:val="00FD52F7"/>
    <w:rsid w:val="00FD6793"/>
    <w:rsid w:val="00FE13C1"/>
    <w:rsid w:val="00FE7A23"/>
    <w:rsid w:val="00FF0158"/>
    <w:rsid w:val="00FF1B35"/>
    <w:rsid w:val="00FF43AB"/>
    <w:rsid w:val="00FF6C10"/>
    <w:rsid w:val="00FF74F7"/>
    <w:rsid w:val="00FF7A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5A"/>
  </w:style>
  <w:style w:type="paragraph" w:styleId="Ttulo1">
    <w:name w:val="heading 1"/>
    <w:basedOn w:val="Normal"/>
    <w:next w:val="Normal"/>
    <w:link w:val="Ttulo1Car"/>
    <w:uiPriority w:val="9"/>
    <w:qFormat/>
    <w:rsid w:val="00BE2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75A"/>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BE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E275A"/>
  </w:style>
  <w:style w:type="paragraph" w:customStyle="1" w:styleId="Default">
    <w:name w:val="Default"/>
    <w:rsid w:val="00BE275A"/>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semiHidden/>
    <w:unhideWhenUsed/>
    <w:rsid w:val="00BE27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A1973"/>
    <w:pPr>
      <w:spacing w:after="200" w:line="276" w:lineRule="auto"/>
      <w:ind w:left="720"/>
      <w:contextualSpacing/>
    </w:pPr>
    <w:rPr>
      <w:lang w:val="es-ES"/>
    </w:rPr>
  </w:style>
  <w:style w:type="paragraph" w:styleId="Encabezado">
    <w:name w:val="header"/>
    <w:basedOn w:val="Normal"/>
    <w:link w:val="EncabezadoCar"/>
    <w:uiPriority w:val="99"/>
    <w:unhideWhenUsed/>
    <w:rsid w:val="00412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B8"/>
  </w:style>
  <w:style w:type="paragraph" w:styleId="Piedepgina">
    <w:name w:val="footer"/>
    <w:basedOn w:val="Normal"/>
    <w:link w:val="PiedepginaCar"/>
    <w:uiPriority w:val="99"/>
    <w:unhideWhenUsed/>
    <w:rsid w:val="00412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B8"/>
  </w:style>
  <w:style w:type="paragraph" w:styleId="Textodeglobo">
    <w:name w:val="Balloon Text"/>
    <w:basedOn w:val="Normal"/>
    <w:link w:val="TextodegloboCar"/>
    <w:uiPriority w:val="99"/>
    <w:semiHidden/>
    <w:unhideWhenUsed/>
    <w:rsid w:val="00DB17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D0"/>
    <w:rPr>
      <w:rFonts w:ascii="Tahoma" w:hAnsi="Tahoma" w:cs="Tahoma"/>
      <w:sz w:val="16"/>
      <w:szCs w:val="16"/>
    </w:rPr>
  </w:style>
  <w:style w:type="character" w:styleId="Hipervnculo">
    <w:name w:val="Hyperlink"/>
    <w:basedOn w:val="Fuentedeprrafopredeter"/>
    <w:uiPriority w:val="99"/>
    <w:unhideWhenUsed/>
    <w:rsid w:val="00D66E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5A"/>
  </w:style>
  <w:style w:type="paragraph" w:styleId="Ttulo1">
    <w:name w:val="heading 1"/>
    <w:basedOn w:val="Normal"/>
    <w:next w:val="Normal"/>
    <w:link w:val="Ttulo1Car"/>
    <w:uiPriority w:val="9"/>
    <w:qFormat/>
    <w:rsid w:val="00BE2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75A"/>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BE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E275A"/>
  </w:style>
  <w:style w:type="paragraph" w:customStyle="1" w:styleId="Default">
    <w:name w:val="Default"/>
    <w:rsid w:val="00BE275A"/>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semiHidden/>
    <w:unhideWhenUsed/>
    <w:rsid w:val="00BE27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A1973"/>
    <w:pPr>
      <w:spacing w:after="200" w:line="276" w:lineRule="auto"/>
      <w:ind w:left="720"/>
      <w:contextualSpacing/>
    </w:pPr>
    <w:rPr>
      <w:lang w:val="es-ES"/>
    </w:rPr>
  </w:style>
  <w:style w:type="paragraph" w:styleId="Encabezado">
    <w:name w:val="header"/>
    <w:basedOn w:val="Normal"/>
    <w:link w:val="EncabezadoCar"/>
    <w:uiPriority w:val="99"/>
    <w:unhideWhenUsed/>
    <w:rsid w:val="00412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B8"/>
  </w:style>
  <w:style w:type="paragraph" w:styleId="Piedepgina">
    <w:name w:val="footer"/>
    <w:basedOn w:val="Normal"/>
    <w:link w:val="PiedepginaCar"/>
    <w:uiPriority w:val="99"/>
    <w:unhideWhenUsed/>
    <w:rsid w:val="00412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B8"/>
  </w:style>
  <w:style w:type="paragraph" w:styleId="Textodeglobo">
    <w:name w:val="Balloon Text"/>
    <w:basedOn w:val="Normal"/>
    <w:link w:val="TextodegloboCar"/>
    <w:uiPriority w:val="99"/>
    <w:semiHidden/>
    <w:unhideWhenUsed/>
    <w:rsid w:val="00DB17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D0"/>
    <w:rPr>
      <w:rFonts w:ascii="Tahoma" w:hAnsi="Tahoma" w:cs="Tahoma"/>
      <w:sz w:val="16"/>
      <w:szCs w:val="16"/>
    </w:rPr>
  </w:style>
  <w:style w:type="character" w:styleId="Hipervnculo">
    <w:name w:val="Hyperlink"/>
    <w:basedOn w:val="Fuentedeprrafopredeter"/>
    <w:uiPriority w:val="99"/>
    <w:unhideWhenUsed/>
    <w:rsid w:val="00D66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5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FE8D42C-8FAA-4FEA-8486-2A247D8B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4990</Words>
  <Characters>27450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Maah37</Company>
  <LinksUpToDate>false</LinksUpToDate>
  <CharactersWithSpaces>32376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Familia</cp:lastModifiedBy>
  <cp:revision>13</cp:revision>
  <cp:lastPrinted>2018-04-02T00:03:00Z</cp:lastPrinted>
  <dcterms:created xsi:type="dcterms:W3CDTF">2018-06-01T11:30:00Z</dcterms:created>
  <dcterms:modified xsi:type="dcterms:W3CDTF">2018-06-10T23:43:00Z</dcterms:modified>
</cp:coreProperties>
</file>