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ind w:firstLine="0"/>
        <w:jc w:val="left"/>
      </w:pPr>
      <w:r>
        <w:rPr>
          <w:rFonts w:ascii="Times New Roman" w:hAnsi="Times New Roman" w:eastAsia="宋体"/>
          <w:b/>
          <w:sz w:val="30"/>
        </w:rPr>
        <w:t>方法</w:t>
      </w:r>
    </w:p>
    <w:p>
      <w:pPr>
        <w:spacing w:line="360" w:lineRule="auto" w:before="0" w:after="120"/>
        <w:ind w:firstLine="480"/>
        <w:jc w:val="both"/>
      </w:pPr>
      <w:r>
        <w:rPr>
          <w:rFonts w:ascii="Times New Roman" w:hAnsi="Times New Roman" w:eastAsia="宋体"/>
          <w:sz w:val="24"/>
        </w:rPr>
        <w:t>本研究面向液基薄层细胞学（TCT）全视野切片的异常筛查任务，构建了一个由切片级多实例学习分类器和细胞级检测分支组成的弱监督分析流程。整体思路是将一张全视野切片视为由多个局部图像块构成的 bag，先利用预训练病理视觉编码器提取 patch 表征，再通过 Attention-MIL 聚合为切片级表征并完成 normal/abnormal 二分类；随后选取注意力最高的局部区域作为 ROI，并利用异常细胞检测器给出 ROI 级别的细胞证据。该设计使切片级诊断标签与局部细胞证据能够在同一坐标体系下对应，为后续的注意力引导训练和可解释性分析提供基础。</w:t>
      </w:r>
    </w:p>
    <w:p>
      <w:pPr>
        <w:spacing w:line="360" w:lineRule="auto" w:before="160" w:after="120"/>
        <w:ind w:firstLine="0"/>
        <w:jc w:val="left"/>
      </w:pPr>
      <w:r>
        <w:rPr>
          <w:rFonts w:ascii="Times New Roman" w:hAnsi="Times New Roman" w:eastAsia="宋体"/>
          <w:b/>
          <w:sz w:val="26"/>
        </w:rPr>
        <w:t>数据来源与标签定义</w:t>
      </w:r>
    </w:p>
    <w:p>
      <w:pPr>
        <w:spacing w:line="360" w:lineRule="auto" w:before="0" w:after="120"/>
        <w:ind w:firstLine="480"/>
        <w:jc w:val="both"/>
      </w:pPr>
      <w:r>
        <w:rPr>
          <w:rFonts w:ascii="Times New Roman" w:hAnsi="Times New Roman" w:eastAsia="宋体"/>
          <w:sz w:val="24"/>
        </w:rPr>
        <w:t>项目当前整理后的全视野切片数据以 1024×1024 patch 形式存储于 final_data 数据目录。元数据文件记录了 patch 名称、切片名称、所属类别、行列索引、level 0 坐标范围以及有效染色像素比例。现有数据包含 482 张切片和 815798 个有效 patch，其中阳性切片 338 张、阴性切片 144 张；对应 patch 数量分别为 579270 和 236528。切片级标签采用二分类定义，negative 记为 0，positive 记为 1。</w:t>
      </w:r>
    </w:p>
    <w:p>
      <w:pPr>
        <w:spacing w:line="360" w:lineRule="auto" w:before="0" w:after="120"/>
        <w:ind w:firstLine="480"/>
        <w:jc w:val="both"/>
      </w:pPr>
      <w:r>
        <w:rPr>
          <w:rFonts w:ascii="Times New Roman" w:hAnsi="Times New Roman" w:eastAsia="宋体"/>
          <w:sz w:val="24"/>
        </w:rPr>
        <w:t>细胞框监督来自 JSON 全局坐标标注。标注转换过程中仅保留 pos 类异常细胞框，并将其映射到已保存的 1024×1024 patch 内部局部坐标，再导出为 YOLO 格式标签。当前转换结果包含 4748 个异常细胞框，分布于 3061 个 patch。对于独立检测器训练，项目还支持将 ComparisonDetectorDataset 中的 ascus、asch、lsil、hsil、scc 和 agc 合并为 abnormal_cell 类，并忽略感染或菌群相关类别，以形成 YOLO11 二分类异常细胞检测数据。</w:t>
      </w:r>
    </w:p>
    <w:p>
      <w:pPr>
        <w:spacing w:line="360" w:lineRule="auto" w:before="160" w:after="120"/>
        <w:ind w:firstLine="0"/>
        <w:jc w:val="left"/>
      </w:pPr>
      <w:r>
        <w:rPr>
          <w:rFonts w:ascii="Times New Roman" w:hAnsi="Times New Roman" w:eastAsia="宋体"/>
          <w:b/>
          <w:sz w:val="26"/>
        </w:rPr>
        <w:t>全视野切片切分与背景过滤</w:t>
      </w:r>
    </w:p>
    <w:p>
      <w:pPr>
        <w:spacing w:line="360" w:lineRule="auto" w:before="0" w:after="120"/>
        <w:ind w:firstLine="480"/>
        <w:jc w:val="both"/>
      </w:pPr>
      <w:r>
        <w:rPr>
          <w:rFonts w:ascii="Times New Roman" w:hAnsi="Times New Roman" w:eastAsia="宋体"/>
          <w:sz w:val="24"/>
        </w:rPr>
        <w:t>全视野切片在 level 0 坐标系下按规则网格切分为 1024×1024 patch。边缘不足 1024 像素的区域保留并以白色背景补齐，从而减少因边界裁剪导致的组织区域遗漏。为降低空白背景对 MIL 训练的干扰，切分阶段计算每个 patch 的疑似细胞或染色区域像素比例，并过滤低于阈值的背景 patch。有效像素由近白背景、HSV 饱和度、亮度以及暗像素条件共同判定；当前阈值设置中，有效染色像素比例低于 0.002 的 patch 被视为空白背景。</w:t>
      </w:r>
    </w:p>
    <w:p>
      <w:pPr>
        <w:spacing w:line="360" w:lineRule="auto" w:before="0" w:after="120"/>
        <w:ind w:firstLine="480"/>
        <w:jc w:val="both"/>
      </w:pPr>
      <w:r>
        <w:rPr>
          <w:rFonts w:ascii="Times New Roman" w:hAnsi="Times New Roman" w:eastAsia="宋体"/>
          <w:sz w:val="24"/>
        </w:rPr>
        <w:t>每个保留 patch 均写入元数据表，记录其在原始切片中的行列索引以及 x_min、y_min、x_max、y_max 坐标。该元数据在后续三个环节中复用：一是构建 slide-level MIL bag，二是将全局细胞框转换为 patch 内部检测框，三是将模型注意力和检测结果回映射到原始切片坐标。</w:t>
      </w:r>
    </w:p>
    <w:p>
      <w:pPr>
        <w:spacing w:line="360" w:lineRule="auto" w:before="160" w:after="120"/>
        <w:ind w:firstLine="0"/>
        <w:jc w:val="left"/>
      </w:pPr>
      <w:r>
        <w:rPr>
          <w:rFonts w:ascii="Times New Roman" w:hAnsi="Times New Roman" w:eastAsia="宋体"/>
          <w:b/>
          <w:sz w:val="26"/>
        </w:rPr>
        <w:t>Patch 表征与 Attention-MIL 分类器</w:t>
      </w:r>
    </w:p>
    <w:p>
      <w:pPr>
        <w:spacing w:line="360" w:lineRule="auto" w:before="0" w:after="120"/>
        <w:ind w:firstLine="480"/>
        <w:jc w:val="both"/>
      </w:pPr>
      <w:r>
        <w:rPr>
          <w:rFonts w:ascii="Times New Roman" w:hAnsi="Times New Roman" w:eastAsia="宋体"/>
          <w:sz w:val="24"/>
        </w:rPr>
        <w:t>对于每张切片，数据加载器以 slide 为单位收集其所有有效 patch，并在训练阶段最多随机采样 512 个 patch；验证阶段采用均匀采样以保证评估稳定。每个 patch 在送入编码器前 resize 到 224×224，并使用 ImageNet 均值和方差进行归一化。视觉编码器采用 UniCAS 预训练 Vision Transformer，输出维度为 1024。在默认设置下，编码器参数冻结，仅训练 MIL 分类头；当需要端到端微调时，可为编码器设置更小学习率。</w:t>
      </w:r>
    </w:p>
    <w:p>
      <w:pPr>
        <w:spacing w:line="360" w:lineRule="auto" w:before="0" w:after="120"/>
        <w:ind w:firstLine="480"/>
        <w:jc w:val="both"/>
      </w:pPr>
      <w:r>
        <w:rPr>
          <w:rFonts w:ascii="Times New Roman" w:hAnsi="Times New Roman" w:eastAsia="宋体"/>
          <w:sz w:val="24"/>
        </w:rPr>
        <w:t>Attention-MIL 分类头首先将 1024 维 patch 特征投影到 256 维隐空间，并依次经过 LayerNorm、GELU 与 Dropout。随后，注意力网络由 Linear(256,128)、Tanh 和 Linear(128,1) 组成，用于估计每个 patch 对切片级判断的贡献。由于不同切片包含的 patch 数不同，batch 内采用 mask 标记有效 patch，并在 softmax 前屏蔽 padding 位置。核心聚合过程如下：</w:t>
      </w:r>
    </w:p>
    <w:p>
      <w:pPr>
        <w:spacing w:line="360" w:lineRule="auto" w:before="60" w:after="60"/>
        <w:ind w:firstLine="0"/>
        <w:jc w:val="center"/>
      </w:pPr>
      <w:r>
        <w:rPr>
          <w:rFonts w:ascii="Times New Roman" w:hAnsi="Times New Roman" w:eastAsia="宋体"/>
          <w:sz w:val="22"/>
        </w:rPr>
        <w:t>h_i = f_\theta(x_i), u_i = w_2^T tanh(W_1 h_i), a_i = exp(u_i) / sum_{j in M} exp(u_j)    (1)</w:t>
      </w:r>
    </w:p>
    <w:p>
      <w:pPr>
        <w:spacing w:line="360" w:lineRule="auto" w:before="60" w:after="60"/>
        <w:ind w:firstLine="0"/>
        <w:jc w:val="center"/>
      </w:pPr>
      <w:r>
        <w:rPr>
          <w:rFonts w:ascii="Times New Roman" w:hAnsi="Times New Roman" w:eastAsia="宋体"/>
          <w:sz w:val="22"/>
        </w:rPr>
        <w:t>z = sum_{i in M} a_i h_i, p = softmax(W_c z + b_c)    (2)</w:t>
      </w:r>
    </w:p>
    <w:p>
      <w:pPr>
        <w:spacing w:line="360" w:lineRule="auto" w:before="0" w:after="120"/>
        <w:ind w:firstLine="480"/>
        <w:jc w:val="both"/>
      </w:pPr>
      <w:r>
        <w:rPr>
          <w:rFonts w:ascii="Times New Roman" w:hAnsi="Times New Roman" w:eastAsia="宋体"/>
          <w:sz w:val="24"/>
        </w:rPr>
        <w:t>其中，x_i 表示第 i 个 patch，h_i 为其隐层表征，u_i 为未归一化注意力分数，M 为当前切片的有效 patch 集合，a_i 为归一化注意力权重，z 为切片级表征，p 为 normal/abnormal 预测概率。最终分类器使用线性层输出二分类 logits。</w:t>
      </w:r>
    </w:p>
    <w:p>
      <w:pPr>
        <w:spacing w:line="360" w:lineRule="auto" w:before="160" w:after="120"/>
        <w:ind w:firstLine="0"/>
        <w:jc w:val="left"/>
      </w:pPr>
      <w:r>
        <w:rPr>
          <w:rFonts w:ascii="Times New Roman" w:hAnsi="Times New Roman" w:eastAsia="宋体"/>
          <w:b/>
          <w:sz w:val="26"/>
        </w:rPr>
        <w:t>异常细胞检测分支与 ROI 证据聚合</w:t>
      </w:r>
    </w:p>
    <w:p>
      <w:pPr>
        <w:spacing w:line="360" w:lineRule="auto" w:before="0" w:after="120"/>
        <w:ind w:firstLine="480"/>
        <w:jc w:val="both"/>
      </w:pPr>
      <w:r>
        <w:rPr>
          <w:rFonts w:ascii="Times New Roman" w:hAnsi="Times New Roman" w:eastAsia="宋体"/>
          <w:sz w:val="24"/>
        </w:rPr>
        <w:t>为提升切片级分类的局部可解释性，模型在完成 MIL 前向推理后，将注意力权重最高的 top-k patch 导出为 ROI。当前配置中 k=16。检测分支对这些 1024×1024 ROI 执行异常细胞检测，并输出异常细胞框、置信度和类别编号。对于每个 ROI，系统将检测框置信度聚合为三个标量：最高置信度、置信度总和和检测框数量。</w:t>
      </w:r>
    </w:p>
    <w:p>
      <w:pPr>
        <w:spacing w:line="360" w:lineRule="auto" w:before="60" w:after="60"/>
        <w:ind w:firstLine="0"/>
        <w:jc w:val="center"/>
      </w:pPr>
      <w:r>
        <w:rPr>
          <w:rFonts w:ascii="Times New Roman" w:hAnsi="Times New Roman" w:eastAsia="宋体"/>
          <w:sz w:val="22"/>
        </w:rPr>
        <w:t>s_max = max_{b in B_i} c_b, s_sum = sum_{b in B_i} c_b, n_i = |B_i|    (3)</w:t>
      </w:r>
    </w:p>
    <w:p>
      <w:pPr>
        <w:spacing w:line="360" w:lineRule="auto" w:before="0" w:after="120"/>
        <w:ind w:firstLine="480"/>
        <w:jc w:val="both"/>
      </w:pPr>
      <w:r>
        <w:rPr>
          <w:rFonts w:ascii="Times New Roman" w:hAnsi="Times New Roman" w:eastAsia="宋体"/>
          <w:sz w:val="24"/>
        </w:rPr>
        <w:t>其中，B_i 表示第 i 个 ROI 内的检测框集合，c_b 为检测框 b 的置信度。该 ROI 级检测证据不直接替代 MIL 的切片级分类，而是作为局部细胞学证据补充注意力热区解释；在引入 attention guidance 时，也可将该信号转换为 patch 级监督目标。</w:t>
      </w:r>
    </w:p>
    <w:p>
      <w:pPr>
        <w:spacing w:line="360" w:lineRule="auto" w:before="160" w:after="120"/>
        <w:ind w:firstLine="0"/>
        <w:jc w:val="left"/>
      </w:pPr>
      <w:r>
        <w:rPr>
          <w:rFonts w:ascii="Times New Roman" w:hAnsi="Times New Roman" w:eastAsia="宋体"/>
          <w:b/>
          <w:sz w:val="26"/>
        </w:rPr>
        <w:t>训练目标与注意力引导</w:t>
      </w:r>
    </w:p>
    <w:p>
      <w:pPr>
        <w:spacing w:line="360" w:lineRule="auto" w:before="0" w:after="120"/>
        <w:ind w:firstLine="480"/>
        <w:jc w:val="both"/>
      </w:pPr>
      <w:r>
        <w:rPr>
          <w:rFonts w:ascii="Times New Roman" w:hAnsi="Times New Roman" w:eastAsia="宋体"/>
          <w:sz w:val="24"/>
        </w:rPr>
        <w:t>切片级分类损失采用带类别权重的交叉熵，以缓解 positive 与 negative 样本分布不均衡。类别权重由训练集标签计数自动计算，类别 c 的权重与其样本数成反比。若引入细胞框或检测器输出作为注意力引导，则将存在异常细胞框的 patch 归一化为目标注意力分布，并以交叉熵形式约束模型注意力。</w:t>
      </w:r>
    </w:p>
    <w:p>
      <w:pPr>
        <w:spacing w:line="360" w:lineRule="auto" w:before="60" w:after="60"/>
        <w:ind w:firstLine="0"/>
        <w:jc w:val="center"/>
      </w:pPr>
      <w:r>
        <w:rPr>
          <w:rFonts w:ascii="Times New Roman" w:hAnsi="Times New Roman" w:eastAsia="宋体"/>
          <w:sz w:val="22"/>
        </w:rPr>
        <w:t>L_cls = - w_y log p_y, w_c = N / (C N_c)    (4)</w:t>
      </w:r>
    </w:p>
    <w:p>
      <w:pPr>
        <w:spacing w:line="360" w:lineRule="auto" w:before="60" w:after="60"/>
        <w:ind w:firstLine="0"/>
        <w:jc w:val="center"/>
      </w:pPr>
      <w:r>
        <w:rPr>
          <w:rFonts w:ascii="Times New Roman" w:hAnsi="Times New Roman" w:eastAsia="宋体"/>
          <w:sz w:val="22"/>
        </w:rPr>
        <w:t>q_i = m_i / sum_{j in M} m_j, L_guide = - sum_{i in M} q_i log(a_i), L = L_cls + lambda L_guide    (5)</w:t>
      </w:r>
    </w:p>
    <w:p>
      <w:pPr>
        <w:spacing w:line="360" w:lineRule="auto" w:before="0" w:after="120"/>
        <w:ind w:firstLine="480"/>
        <w:jc w:val="both"/>
      </w:pPr>
      <w:r>
        <w:rPr>
          <w:rFonts w:ascii="Times New Roman" w:hAnsi="Times New Roman" w:eastAsia="宋体"/>
          <w:sz w:val="24"/>
        </w:rPr>
        <w:t>其中，N 为训练样本总数，C 为类别数，N_c 为类别 c 的样本数；m_i 表示第 i 个 patch 是否含有异常细胞框或检测证据，q_i 为归一化引导目标，lambda 控制注意力引导损失的权重。当 lambda=0 时，模型退化为仅依赖切片级标签训练的 Attention-MIL；当 lambda&gt;0 时，细胞级证据参与约束注意力分布。</w:t>
      </w:r>
    </w:p>
    <w:p>
      <w:pPr>
        <w:spacing w:line="360" w:lineRule="auto" w:before="160" w:after="120"/>
        <w:ind w:firstLine="0"/>
        <w:jc w:val="left"/>
      </w:pPr>
      <w:r>
        <w:rPr>
          <w:rFonts w:ascii="Times New Roman" w:hAnsi="Times New Roman" w:eastAsia="宋体"/>
          <w:b/>
          <w:sz w:val="26"/>
        </w:rPr>
        <w:t>优化设置与模型输出</w:t>
      </w:r>
    </w:p>
    <w:p>
      <w:pPr>
        <w:spacing w:line="360" w:lineRule="auto" w:before="0" w:after="120"/>
        <w:ind w:firstLine="480"/>
        <w:jc w:val="both"/>
      </w:pPr>
      <w:r>
        <w:rPr>
          <w:rFonts w:ascii="Times New Roman" w:hAnsi="Times New Roman" w:eastAsia="宋体"/>
          <w:sz w:val="24"/>
        </w:rPr>
        <w:t>训练过程使用 AdamW 优化器，MIL 分类头学习率为 1e-4，权重衰减为 1e-4；若开放编码器微调，则编码器学习率设为 1e-5。默认训练 30 个 epoch，batch size 为 1，随机种子为 9，并在 CUDA 环境下启用自动混合精度。模型以验证集 AUC 作为优先选择指标；当 AUC 不可计算时，使用 balanced accuracy 作为替代。训练过程保存 best.pt、last.pt、metrics.json 以及验证集预测文件。</w:t>
      </w:r>
    </w:p>
    <w:p>
      <w:pPr>
        <w:spacing w:line="360" w:lineRule="auto" w:before="0" w:after="120"/>
        <w:ind w:firstLine="480"/>
        <w:jc w:val="both"/>
      </w:pPr>
      <w:r>
        <w:rPr>
          <w:rFonts w:ascii="Times New Roman" w:hAnsi="Times New Roman" w:eastAsia="宋体"/>
          <w:sz w:val="24"/>
        </w:rPr>
        <w:t>最终，系统导出切片级预测概率、patch 注意力分数、top-k ROI 列表、检测器 ROI 分数以及异常细胞检测框。上述输出共同构成从切片级判别到局部细胞证据的可追踪链条，既可用于模型训练闭环，也可用于后续热图可视化、ROI 质控和人工复核。</w:t>
      </w:r>
    </w:p>
    <w:sectPr w:rsidR="00FC693F" w:rsidRPr="0006063C" w:rsidSect="00034616">
      <w:pgSz w:w="11906" w:h="16838"/>
      <w:pgMar w:top="1440" w:right="1701" w:bottom="144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