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0500D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Realizar Pago</w:t>
      </w:r>
    </w:p>
    <w:p w:rsidR="000500D6" w:rsidRDefault="000500D6">
      <w:pPr>
        <w:rPr>
          <w:b/>
          <w:sz w:val="28"/>
          <w:szCs w:val="28"/>
        </w:rPr>
      </w:pPr>
    </w:p>
    <w:p w:rsidR="000500D6" w:rsidRDefault="000500D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Interfaz</w:t>
      </w:r>
    </w:p>
    <w:p w:rsidR="000500D6" w:rsidRDefault="000500D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39115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6" w:rsidRDefault="000500D6">
      <w:pPr>
        <w:rPr>
          <w:b/>
          <w:sz w:val="28"/>
          <w:szCs w:val="28"/>
        </w:rPr>
      </w:pPr>
    </w:p>
    <w:p w:rsidR="001305B5" w:rsidRDefault="001305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Especificación de Caso de </w:t>
      </w:r>
      <w:proofErr w:type="spellStart"/>
      <w:r>
        <w:rPr>
          <w:b/>
          <w:sz w:val="28"/>
          <w:szCs w:val="28"/>
        </w:rPr>
        <w:t>USo</w:t>
      </w:r>
      <w:proofErr w:type="spellEnd"/>
    </w:p>
    <w:p w:rsidR="001305B5" w:rsidRDefault="001305B5">
      <w:pPr>
        <w:rPr>
          <w:b/>
          <w:sz w:val="28"/>
          <w:szCs w:val="28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36796A" w:rsidTr="00473654">
        <w:tc>
          <w:tcPr>
            <w:tcW w:w="1980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 w:rsidRPr="00166A99">
              <w:rPr>
                <w:rFonts w:ascii="Arial" w:hAnsi="Arial" w:cs="Arial"/>
                <w:sz w:val="24"/>
                <w:szCs w:val="24"/>
              </w:rPr>
              <w:t>Realizar Pago</w:t>
            </w:r>
          </w:p>
        </w:tc>
      </w:tr>
      <w:tr w:rsidR="0036796A" w:rsidTr="00473654">
        <w:tc>
          <w:tcPr>
            <w:tcW w:w="8494" w:type="dxa"/>
            <w:gridSpan w:val="3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166A99">
              <w:rPr>
                <w:rFonts w:ascii="Arial" w:hAnsi="Arial" w:cs="Arial"/>
                <w:sz w:val="24"/>
                <w:szCs w:val="24"/>
              </w:rPr>
              <w:t>Se describe el proceso de visualización del detalle de la compra, como se realiza el pago de la misma y como se imprimen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Pr="00166A99">
              <w:rPr>
                <w:rFonts w:ascii="Arial" w:hAnsi="Arial" w:cs="Arial"/>
                <w:sz w:val="24"/>
                <w:szCs w:val="24"/>
              </w:rPr>
              <w:t>Operador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166A99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166A99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36796A" w:rsidRPr="00166A99" w:rsidRDefault="0036796A" w:rsidP="00473654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 w:rsidRPr="00166A99">
              <w:rPr>
                <w:rFonts w:ascii="Arial" w:hAnsi="Arial" w:cs="Arial"/>
                <w:sz w:val="24"/>
                <w:szCs w:val="24"/>
              </w:rPr>
              <w:t>24-05-2017</w:t>
            </w:r>
          </w:p>
        </w:tc>
      </w:tr>
      <w:tr w:rsidR="0036796A" w:rsidTr="00473654">
        <w:tc>
          <w:tcPr>
            <w:tcW w:w="8494" w:type="dxa"/>
            <w:gridSpan w:val="3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166A99">
              <w:rPr>
                <w:rFonts w:ascii="Arial" w:hAnsi="Arial" w:cs="Arial"/>
                <w:sz w:val="24"/>
                <w:szCs w:val="24"/>
              </w:rPr>
              <w:t xml:space="preserve">El operador se debe encontrar logueado en el sistema, poseer las patentes necesarias y estar dentro de la pantalla de realización del pago. 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El operador ingresa los datos de pago del usuario: Número de tarjeta, Nombre estampado en tarjeta, fecha de vencimiento y código de seguridad. Y presiona en Pagar.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 xml:space="preserve">Los datos se verificarán a nivel de interfaz para comprobar su formato valido. Número de tarjeta: XXXX-XXXX-XXXX-XXXX-XXXX (X es un numero), Vencimiento en formato </w:t>
            </w:r>
            <w:r w:rsidRPr="00166A99">
              <w:rPr>
                <w:rFonts w:ascii="Arial" w:hAnsi="Arial" w:cs="Arial"/>
                <w:sz w:val="24"/>
                <w:szCs w:val="24"/>
              </w:rPr>
              <w:lastRenderedPageBreak/>
              <w:t>MM-YY (</w:t>
            </w:r>
            <w:proofErr w:type="spellStart"/>
            <w:r w:rsidRPr="00166A99">
              <w:rPr>
                <w:rFonts w:ascii="Arial" w:hAnsi="Arial" w:cs="Arial"/>
                <w:sz w:val="24"/>
                <w:szCs w:val="24"/>
              </w:rPr>
              <w:t>MesMes</w:t>
            </w:r>
            <w:proofErr w:type="spellEnd"/>
            <w:r w:rsidRPr="00166A99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166A99">
              <w:rPr>
                <w:rFonts w:ascii="Arial" w:hAnsi="Arial" w:cs="Arial"/>
                <w:sz w:val="24"/>
                <w:szCs w:val="24"/>
              </w:rPr>
              <w:t>AñoAño</w:t>
            </w:r>
            <w:proofErr w:type="spellEnd"/>
            <w:r w:rsidRPr="00166A99">
              <w:rPr>
                <w:rFonts w:ascii="Arial" w:hAnsi="Arial" w:cs="Arial"/>
                <w:sz w:val="24"/>
                <w:szCs w:val="24"/>
              </w:rPr>
              <w:t>) y Código de seguridad tres números consecutivos.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lastRenderedPageBreak/>
              <w:t>Se validan los datos de pago.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En el caso de ser inválidos se notificará al usuario a través de un mensaje de error y se volverá a la pantalla de Realización de Pago.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Se realiza el pago de la venta.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Este proceso se deriva en un servicio ya disponible en el sistema antiguo. Si hubiera algún error se notificará al usuario a través de un mensaje de error.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Se encripta la venta y se guarda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El usuario selecciona finalizar para volver a la pantalla de inicio.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96A" w:rsidTr="00473654">
        <w:tc>
          <w:tcPr>
            <w:tcW w:w="8494" w:type="dxa"/>
            <w:gridSpan w:val="3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166A99">
              <w:rPr>
                <w:rFonts w:ascii="Arial" w:hAnsi="Arial" w:cs="Arial"/>
                <w:sz w:val="24"/>
                <w:szCs w:val="24"/>
              </w:rPr>
              <w:t>El usuario se dirigirá a la pantalla de inicio.</w:t>
            </w:r>
          </w:p>
        </w:tc>
      </w:tr>
    </w:tbl>
    <w:p w:rsidR="001305B5" w:rsidRDefault="001305B5">
      <w:pPr>
        <w:rPr>
          <w:b/>
          <w:sz w:val="28"/>
          <w:szCs w:val="28"/>
        </w:rPr>
      </w:pPr>
    </w:p>
    <w:p w:rsidR="000500D6" w:rsidRDefault="00166A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Caso de uso</w:t>
      </w:r>
      <w:bookmarkStart w:id="0" w:name="_GoBack"/>
      <w:bookmarkEnd w:id="0"/>
    </w:p>
    <w:p w:rsidR="00E5049D" w:rsidRDefault="000500D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3114675" cy="126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6" w:rsidRDefault="00BD2C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Diagrama de Clase</w:t>
      </w:r>
    </w:p>
    <w:p w:rsidR="00BD2CCA" w:rsidRDefault="00E5049D">
      <w:pPr>
        <w:rPr>
          <w:b/>
          <w:sz w:val="28"/>
          <w:szCs w:val="28"/>
        </w:rPr>
      </w:pPr>
      <w:r w:rsidRPr="00E5049D">
        <w:rPr>
          <w:b/>
          <w:noProof/>
          <w:sz w:val="28"/>
          <w:szCs w:val="28"/>
          <w:u w:val="single"/>
          <w:lang w:eastAsia="es-AR"/>
        </w:rPr>
        <w:drawing>
          <wp:inline distT="0" distB="0" distL="0" distR="0">
            <wp:extent cx="6384257" cy="2571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898" cy="257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  <w:sectPr w:rsidR="00E5049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5049D" w:rsidRDefault="00E5049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de Secuencia</w:t>
      </w:r>
    </w:p>
    <w:p w:rsidR="00E5049D" w:rsidRDefault="001305B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9296400" cy="53721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049D" w:rsidRPr="000500D6" w:rsidRDefault="00E5049D">
      <w:pPr>
        <w:rPr>
          <w:b/>
          <w:sz w:val="28"/>
          <w:szCs w:val="28"/>
        </w:rPr>
      </w:pPr>
    </w:p>
    <w:sectPr w:rsidR="00E5049D" w:rsidRPr="000500D6" w:rsidSect="00E5049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6"/>
    <w:rsid w:val="000500D6"/>
    <w:rsid w:val="001305B5"/>
    <w:rsid w:val="00166A99"/>
    <w:rsid w:val="0036796A"/>
    <w:rsid w:val="00A359DB"/>
    <w:rsid w:val="00A87567"/>
    <w:rsid w:val="00BD2CCA"/>
    <w:rsid w:val="00E5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7641"/>
  <w15:chartTrackingRefBased/>
  <w15:docId w15:val="{144EDD59-C1C8-45A0-B12F-7A4D2A8C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2</cp:revision>
  <dcterms:created xsi:type="dcterms:W3CDTF">2017-05-25T01:47:00Z</dcterms:created>
  <dcterms:modified xsi:type="dcterms:W3CDTF">2017-05-25T02:42:00Z</dcterms:modified>
</cp:coreProperties>
</file>