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2" w14:textId="77777777">
      <w: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0000001" wp14:editId="30000001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2286000" cy="457200"/>
                <wp:effectExtent l="0" t="0" r="0" b="0"/>
                <wp:wrapSquare wrapText="bothSides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0000001" w14:textId="77777777">
                            <w:r>
                              <w:t>Text inside the box.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8pt;margin-top:0;width:180pt;height:36pt;z-index:251659264" fillcolor="white" strokeweight=".5pt">
                <v:textbox>
                  <w:txbxContent>
                    <w:p>
                      <w:r>
                        <w:t>Text inside the box.</w:t>
                      </w:r>
                    </w:p>
                  </w:txbxContent>
                </v:textbox>
              </v:shape>
            </w:pict>
          </mc:Fallback>
        </mc:AlternateContent>
      </w:r>
      <w:r>
        <w:t>The paragraph that anchors a text box.</w:t>
      </w:r>
    </w:p>
    <w:p w14:paraId="10000003" w14:textId="77777777">
      <w:r>
        <w:t>Another paragraph.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box</dc:title>
  <dc:creator>Quillwork fixture generator</dc:creator>
  <dcterms:created xsi:type="dcterms:W3CDTF">2026-01-01T00:00:00Z</dcterms:created>
  <dcterms:modified xsi:type="dcterms:W3CDTF">2026-01-01T00:00:00Z</dcterms:modified>
</cp:coreProperties>
</file>