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center"/>
        <w:tblLayout w:type="fixed"/>
        <w:tblLook w:firstColumn="1" w:firstRow="1" w:lastColumn="0" w:lastRow="0" w:noHBand="0" w:noVBand="1" w:val="04A0"/>
      </w:tblPr>
      <w:tblGrid>
        <w:gridCol w:w="5616"/>
        <w:gridCol w:w="4176"/>
      </w:tblGrid>
      <w:tr>
        <w:tc>
          <w:tcPr>
            <w:tcW w:type="dxa" w:w="5040"/>
            <w:tcBorders>
              <w:top w:val="single" w:sz="0" w:space="0" w:color="FFFFFF"/>
              <w:left w:val="single" w:sz="0" w:space="0" w:color="FFFFFF"/>
              <w:bottom w:val="single" w:sz="0" w:space="0" w:color="FFFFFF"/>
              <w:right w:val="single" w:sz="0" w:space="0" w:color="FFFFFF"/>
            </w:tcBorders>
            <w:tcMar>
              <w:top w:w="0" w:type="dxa"/>
              <w:start w:w="0" w:type="dxa"/>
              <w:bottom w:w="0" w:type="dxa"/>
              <w:end w:w="0" w:type="dxa"/>
            </w:tcMar>
          </w:tcPr>
          <w:p>
            <w:pPr>
              <w:spacing w:after="200"/>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cureobs-logo-new.png"/>
                          <pic:cNvPicPr/>
                        </pic:nvPicPr>
                        <pic:blipFill>
                          <a:blip r:embed="rId11"/>
                          <a:stretch>
                            <a:fillRect/>
                          </a:stretch>
                        </pic:blipFill>
                        <pic:spPr>
                          <a:xfrm>
                            <a:off x="0" y="0"/>
                            <a:ext cx="960120" cy="960120"/>
                          </a:xfrm>
                          <a:prstGeom prst="rect"/>
                        </pic:spPr>
                      </pic:pic>
                    </a:graphicData>
                  </a:graphic>
                </wp:inline>
              </w:drawing>
            </w:r>
          </w:p>
          <w:p>
            <w:pPr>
              <w:spacing w:after="100"/>
            </w:pPr>
            <w:r>
              <w:rPr>
                <w:rFonts w:ascii="Arial" w:hAnsi="Arial"/>
                <w:b/>
                <w:color w:val="08A7B5"/>
                <w:sz w:val="20"/>
              </w:rPr>
              <w:t>MANAGER TRAINING GUIDE</w:t>
            </w:r>
          </w:p>
          <w:p>
            <w:pPr>
              <w:spacing w:after="200" w:line="228" w:lineRule="auto"/>
            </w:pPr>
            <w:r>
              <w:rPr>
                <w:rFonts w:ascii="Arial" w:hAnsi="Arial"/>
                <w:b/>
                <w:color w:val="082A58"/>
                <w:sz w:val="58"/>
              </w:rPr>
              <w:t>Setting up staff, access and ward settings</w:t>
            </w:r>
          </w:p>
          <w:p>
            <w:pPr>
              <w:spacing w:after="300"/>
            </w:pPr>
            <w:r>
              <w:rPr>
                <w:rFonts w:ascii="Arial" w:hAnsi="Arial"/>
                <w:b/>
                <w:color w:val="486274"/>
                <w:sz w:val="22"/>
              </w:rPr>
              <w:t>A practical manager route manual for staff access, temporary allocations, NFC tags, patient management and safe ward configuration.</w:t>
            </w:r>
          </w:p>
          <w:tbl>
            <w:tblPr>
              <w:tblW w:type="dxa" w:w="5200"/>
              <w:tblLook w:firstColumn="1" w:firstRow="1" w:lastColumn="0" w:lastRow="0" w:noHBand="0" w:noVBand="1" w:val="04A0"/>
            </w:tblPr>
            <w:tblGrid>
              <w:gridCol w:w="5040"/>
            </w:tblGrid>
            <w:tr>
              <w:tc>
                <w:tcPr>
                  <w:tcW w:type="dxa" w:w="5040"/>
                  <w:shd w:fill="E8F8FA"/>
                  <w:tcBorders>
                    <w:top w:val="single" w:sz="6" w:space="0" w:color="BDECF2"/>
                    <w:left w:val="single" w:sz="6" w:space="0" w:color="BDECF2"/>
                    <w:bottom w:val="single" w:sz="6" w:space="0" w:color="BDECF2"/>
                    <w:right w:val="single" w:sz="6" w:space="0" w:color="BDECF2"/>
                  </w:tcBorders>
                  <w:tcMar>
                    <w:top w:w="80" w:type="dxa"/>
                    <w:start w:w="150" w:type="dxa"/>
                    <w:bottom w:w="80" w:type="dxa"/>
                    <w:end w:w="150" w:type="dxa"/>
                  </w:tcMar>
                </w:tcPr>
                <w:p>
                  <w:pPr>
                    <w:spacing w:after="0"/>
                  </w:pPr>
                  <w:r>
                    <w:rPr>
                      <w:rFonts w:ascii="Arial" w:hAnsi="Arial"/>
                      <w:b/>
                      <w:color w:val="082A58"/>
                      <w:sz w:val="19"/>
                    </w:rPr>
                    <w:t>Manager/admin access</w:t>
                  </w:r>
                </w:p>
              </w:tc>
            </w:tr>
            <w:tr>
              <w:tc>
                <w:tcPr>
                  <w:tcW w:type="dxa" w:w="5040"/>
                  <w:shd w:fill="E8F8FA"/>
                  <w:tcBorders>
                    <w:top w:val="single" w:sz="6" w:space="0" w:color="BDECF2"/>
                    <w:left w:val="single" w:sz="6" w:space="0" w:color="BDECF2"/>
                    <w:bottom w:val="single" w:sz="6" w:space="0" w:color="BDECF2"/>
                    <w:right w:val="single" w:sz="6" w:space="0" w:color="BDECF2"/>
                  </w:tcBorders>
                  <w:tcMar>
                    <w:top w:w="80" w:type="dxa"/>
                    <w:start w:w="150" w:type="dxa"/>
                    <w:bottom w:w="80" w:type="dxa"/>
                    <w:end w:w="150" w:type="dxa"/>
                  </w:tcMar>
                </w:tcPr>
                <w:p>
                  <w:pPr>
                    <w:spacing w:after="0"/>
                  </w:pPr>
                  <w:r>
                    <w:rPr>
                      <w:rFonts w:ascii="Arial" w:hAnsi="Arial"/>
                      <w:b/>
                      <w:color w:val="082A58"/>
                      <w:sz w:val="19"/>
                    </w:rPr>
                    <w:t>NFC and PIN sign-in</w:t>
                  </w:r>
                </w:p>
              </w:tc>
            </w:tr>
            <w:tr>
              <w:tc>
                <w:tcPr>
                  <w:tcW w:type="dxa" w:w="5040"/>
                  <w:shd w:fill="E8F8FA"/>
                  <w:tcBorders>
                    <w:top w:val="single" w:sz="6" w:space="0" w:color="BDECF2"/>
                    <w:left w:val="single" w:sz="6" w:space="0" w:color="BDECF2"/>
                    <w:bottom w:val="single" w:sz="6" w:space="0" w:color="BDECF2"/>
                    <w:right w:val="single" w:sz="6" w:space="0" w:color="BDECF2"/>
                  </w:tcBorders>
                  <w:tcMar>
                    <w:top w:w="80" w:type="dxa"/>
                    <w:start w:w="150" w:type="dxa"/>
                    <w:bottom w:w="80" w:type="dxa"/>
                    <w:end w:w="150" w:type="dxa"/>
                  </w:tcMar>
                </w:tcPr>
                <w:p>
                  <w:pPr>
                    <w:spacing w:after="0"/>
                  </w:pPr>
                  <w:r>
                    <w:rPr>
                      <w:rFonts w:ascii="Arial" w:hAnsi="Arial"/>
                      <w:b/>
                      <w:color w:val="082A58"/>
                      <w:sz w:val="19"/>
                    </w:rPr>
                    <w:t>Ward module switches</w:t>
                  </w:r>
                </w:p>
              </w:tc>
            </w:tr>
            <w:tr>
              <w:tc>
                <w:tcPr>
                  <w:tcW w:type="dxa" w:w="5040"/>
                  <w:shd w:fill="E8F8FA"/>
                  <w:tcBorders>
                    <w:top w:val="single" w:sz="6" w:space="0" w:color="BDECF2"/>
                    <w:left w:val="single" w:sz="6" w:space="0" w:color="BDECF2"/>
                    <w:bottom w:val="single" w:sz="6" w:space="0" w:color="BDECF2"/>
                    <w:right w:val="single" w:sz="6" w:space="0" w:color="BDECF2"/>
                  </w:tcBorders>
                  <w:tcMar>
                    <w:top w:w="80" w:type="dxa"/>
                    <w:start w:w="150" w:type="dxa"/>
                    <w:bottom w:w="80" w:type="dxa"/>
                    <w:end w:w="150" w:type="dxa"/>
                  </w:tcMar>
                </w:tcPr>
                <w:p>
                  <w:pPr>
                    <w:spacing w:after="0"/>
                  </w:pPr>
                  <w:r>
                    <w:rPr>
                      <w:rFonts w:ascii="Arial" w:hAnsi="Arial"/>
                      <w:b/>
                      <w:color w:val="082A58"/>
                      <w:sz w:val="19"/>
                    </w:rPr>
                    <w:t>Session timeout</w:t>
                  </w:r>
                </w:p>
              </w:tc>
            </w:tr>
            <w:tr>
              <w:tc>
                <w:tcPr>
                  <w:tcW w:type="dxa" w:w="5040"/>
                  <w:shd w:fill="E8F8FA"/>
                  <w:tcBorders>
                    <w:top w:val="single" w:sz="6" w:space="0" w:color="BDECF2"/>
                    <w:left w:val="single" w:sz="6" w:space="0" w:color="BDECF2"/>
                    <w:bottom w:val="single" w:sz="6" w:space="0" w:color="BDECF2"/>
                    <w:right w:val="single" w:sz="6" w:space="0" w:color="BDECF2"/>
                  </w:tcBorders>
                  <w:tcMar>
                    <w:top w:w="80" w:type="dxa"/>
                    <w:start w:w="150" w:type="dxa"/>
                    <w:bottom w:w="80" w:type="dxa"/>
                    <w:end w:w="150" w:type="dxa"/>
                  </w:tcMar>
                </w:tcPr>
                <w:p>
                  <w:pPr>
                    <w:spacing w:after="0"/>
                  </w:pPr>
                  <w:r>
                    <w:rPr>
                      <w:rFonts w:ascii="Arial" w:hAnsi="Arial"/>
                      <w:b/>
                      <w:color w:val="082A58"/>
                      <w:sz w:val="19"/>
                    </w:rPr>
                    <w:t>Staff rota visibility</w:t>
                  </w:r>
                </w:p>
              </w:tc>
            </w:tr>
          </w:tbl>
          <w:p/>
        </w:tc>
        <w:tc>
          <w:tcPr>
            <w:tcW w:type="dxa" w:w="5040"/>
            <w:tcBorders>
              <w:top w:val="single" w:sz="0" w:space="0" w:color="FFFFFF"/>
              <w:left w:val="single" w:sz="0" w:space="0" w:color="FFFFFF"/>
              <w:bottom w:val="single" w:sz="0" w:space="0" w:color="FFFFFF"/>
              <w:right w:val="single" w:sz="0" w:space="0" w:color="FFFFFF"/>
            </w:tcBorders>
            <w:tcMar>
              <w:top w:w="0" w:type="dxa"/>
              <w:start w:w="0" w:type="dxa"/>
              <w:bottom w:w="0" w:type="dxa"/>
              <w:end w:w="0" w:type="dxa"/>
            </w:tcMar>
          </w:tcPr>
          <w:p>
            <w:pPr>
              <w:jc w:val="center"/>
            </w:pPr>
            <w:r>
              <w:drawing>
                <wp:inline xmlns:a="http://schemas.openxmlformats.org/drawingml/2006/main" xmlns:pic="http://schemas.openxmlformats.org/drawingml/2006/picture">
                  <wp:extent cx="2514600" cy="6541889"/>
                  <wp:docPr id="2" name="Picture 2"/>
                  <wp:cNvGraphicFramePr>
                    <a:graphicFrameLocks noChangeAspect="1"/>
                  </wp:cNvGraphicFramePr>
                  <a:graphic>
                    <a:graphicData uri="http://schemas.openxmlformats.org/drawingml/2006/picture">
                      <pic:pic>
                        <pic:nvPicPr>
                          <pic:cNvPr id="0" name="Management_Settings.jpg"/>
                          <pic:cNvPicPr/>
                        </pic:nvPicPr>
                        <pic:blipFill>
                          <a:blip r:embed="rId12"/>
                          <a:stretch>
                            <a:fillRect/>
                          </a:stretch>
                        </pic:blipFill>
                        <pic:spPr>
                          <a:xfrm>
                            <a:off x="0" y="0"/>
                            <a:ext cx="2514600" cy="6541889"/>
                          </a:xfrm>
                          <a:prstGeom prst="rect"/>
                        </pic:spPr>
                      </pic:pic>
                    </a:graphicData>
                  </a:graphic>
                </wp:inline>
              </w:drawing>
            </w:r>
          </w:p>
        </w:tc>
      </w:tr>
    </w:tbl>
    <w:p>
      <w:pPr>
        <w:spacing w:before="360" w:after="160"/>
        <w:jc w:val="center"/>
      </w:pPr>
      <w:r>
        <w:rPr>
          <w:rFonts w:ascii="Arial" w:hAnsi="Arial"/>
          <w:b/>
          <w:color w:val="486274"/>
          <w:sz w:val="18"/>
        </w:rPr>
        <w:t>Version 1.1 • September 2026 • For SecureObs managers, ward managers and system administrators</w:t>
      </w:r>
    </w:p>
    <w:p>
      <w:r>
        <w:br w:type="page"/>
      </w:r>
    </w:p>
    <w:p>
      <w:pPr>
        <w:pStyle w:val="Heading1"/>
      </w:pPr>
      <w:r>
        <w:t>1. What this manager manual covers</w:t>
      </w:r>
    </w:p>
    <w:tbl>
      <w:tblPr>
        <w:tblW w:type="dxa" w:w="9360"/>
        <w:jc w:val="center"/>
        <w:tblLook w:firstColumn="1" w:firstRow="1" w:lastColumn="0" w:lastRow="0" w:noHBand="0" w:noVBand="1" w:val="04A0"/>
      </w:tblPr>
      <w:tblGrid>
        <w:gridCol w:w="10080"/>
      </w:tblGrid>
      <w:tr>
        <w:tc>
          <w:tcPr>
            <w:tcW w:type="dxa" w:w="10080"/>
            <w:shd w:fill="EAF6FB"/>
            <w:tcBorders>
              <w:top w:val="single" w:sz="6" w:space="0" w:color="C9E5EF"/>
              <w:left w:val="single" w:sz="6" w:space="0" w:color="C9E5EF"/>
              <w:bottom w:val="single" w:sz="6" w:space="0" w:color="C9E5EF"/>
              <w:right w:val="single" w:sz="6" w:space="0" w:color="C9E5EF"/>
            </w:tcBorders>
            <w:tcMar>
              <w:top w:w="150" w:type="dxa"/>
              <w:start w:w="170" w:type="dxa"/>
              <w:bottom w:w="150" w:type="dxa"/>
              <w:end w:w="170" w:type="dxa"/>
            </w:tcMar>
          </w:tcPr>
          <w:p>
            <w:pPr>
              <w:spacing w:after="40"/>
            </w:pPr>
            <w:r>
              <w:rPr>
                <w:rFonts w:ascii="Arial" w:hAnsi="Arial"/>
                <w:b/>
                <w:color w:val="082A58"/>
                <w:sz w:val="21"/>
              </w:rPr>
              <w:t>Manager route purpose</w:t>
            </w:r>
          </w:p>
          <w:p>
            <w:pPr>
              <w:spacing w:after="0"/>
            </w:pPr>
            <w:r>
              <w:rPr>
                <w:rFonts w:ascii="Arial" w:hAnsi="Arial"/>
                <w:b w:val="0"/>
                <w:color w:val="264859"/>
                <w:sz w:val="19"/>
              </w:rPr>
              <w:t>The manager route is used to control permanent and temporary staff access, patient administration, ward module switches and the operational settings that shape what staff can see and do on a ward tablet.</w:t>
            </w:r>
          </w:p>
        </w:tc>
      </w:tr>
    </w:tbl>
    <w:tbl>
      <w:tblPr>
        <w:tblW w:type="dxa" w:w="9360"/>
        <w:jc w:val="center"/>
        <w:tblLayout w:type="fixed"/>
        <w:tblLook w:firstColumn="1" w:firstRow="1" w:lastColumn="0" w:lastRow="0" w:noHBand="0" w:noVBand="1" w:val="04A0"/>
      </w:tblPr>
      <w:tblGrid>
        <w:gridCol w:w="3384"/>
        <w:gridCol w:w="5904"/>
      </w:tblGrid>
      <w:tr>
        <w:tc>
          <w:tcPr>
            <w:tcW w:type="dxa" w:w="338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Item</w:t>
            </w:r>
          </w:p>
        </w:tc>
        <w:tc>
          <w:tcPr>
            <w:tcW w:type="dxa" w:w="590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Manager guidance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Who should use this guide</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Ward managers, managers with admin rights, super admins and implementation leads.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Before starting</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Confirm the site and ward exist, agree local STAFFCODE format, and prepare any blank NFC staff tags.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Important safety point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Create staff with the minimum access they need. Inactivate records promptly when a staff member leaves or no longer needs access.</w:t>
            </w:r>
          </w:p>
        </w:tc>
      </w:tr>
    </w:tbl>
    <w:p>
      <w:pPr>
        <w:pStyle w:val="Heading1"/>
      </w:pPr>
      <w:r>
        <w:t>2. Manager sign-in route</w:t>
      </w:r>
    </w:p>
    <w:tbl>
      <w:tblPr>
        <w:tblW w:type="dxa" w:w="9360"/>
        <w:jc w:val="center"/>
        <w:tblLayout w:type="fixed"/>
        <w:tblLook w:firstColumn="1" w:firstRow="1" w:lastColumn="0" w:lastRow="0" w:noHBand="0" w:noVBand="1" w:val="04A0"/>
      </w:tblPr>
      <w:tblGrid>
        <w:gridCol w:w="936"/>
        <w:gridCol w:w="8352"/>
      </w:tblGrid>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1</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Open SecureObs</w:t>
            </w:r>
          </w:p>
          <w:p>
            <w:pPr>
              <w:spacing w:after="0"/>
            </w:pPr>
            <w:r>
              <w:rPr>
                <w:rFonts w:ascii="Arial" w:hAnsi="Arial"/>
                <w:color w:val="2D4652"/>
                <w:sz w:val="18"/>
              </w:rPr>
              <w:t>The first screen is the staff access area. The current session strip shows selected staff, site and ward.</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2</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Sign in with NFC or STAFFCODE/PIN</w:t>
            </w:r>
          </w:p>
          <w:p>
            <w:pPr>
              <w:spacing w:after="0"/>
            </w:pPr>
            <w:r>
              <w:rPr>
                <w:rFonts w:ascii="Arial" w:hAnsi="Arial"/>
                <w:color w:val="2D4652"/>
                <w:sz w:val="18"/>
              </w:rPr>
              <w:t>Use Scan card for a written NFC staff tag, or enter STAFFCODE and PIN. Permanent staff can use the PIN route when NFC is not available.</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3</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Change PIN if prompted</w:t>
            </w:r>
          </w:p>
          <w:p>
            <w:pPr>
              <w:spacing w:after="0"/>
            </w:pPr>
            <w:r>
              <w:rPr>
                <w:rFonts w:ascii="Arial" w:hAnsi="Arial"/>
                <w:color w:val="2D4652"/>
                <w:sz w:val="18"/>
              </w:rPr>
              <w:t>If the app says PIN change required, enter the current PIN, then the new 4–6 digit PIN twice before continuing.</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4</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Choose site and ward</w:t>
            </w:r>
          </w:p>
          <w:p>
            <w:pPr>
              <w:spacing w:after="0"/>
            </w:pPr>
            <w:r>
              <w:rPr>
                <w:rFonts w:ascii="Arial" w:hAnsi="Arial"/>
                <w:color w:val="2D4652"/>
                <w:sz w:val="18"/>
              </w:rPr>
              <w:t>Managers with wider access can select the correct site and ward before opening settings or starting the ward workflow.</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5</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Open settings</w:t>
            </w:r>
          </w:p>
          <w:p>
            <w:pPr>
              <w:spacing w:after="0"/>
            </w:pPr>
            <w:r>
              <w:rPr>
                <w:rFonts w:ascii="Arial" w:hAnsi="Arial"/>
                <w:color w:val="2D4652"/>
                <w:sz w:val="18"/>
              </w:rPr>
              <w:t>Use SecureObs admin for organisation-level setup, or Ward settings for staff access, modules and ward-specific controls.</w:t>
            </w:r>
          </w:p>
        </w:tc>
      </w:tr>
    </w:tbl>
    <w:p>
      <w:pPr>
        <w:keepNext/>
        <w:jc w:val="center"/>
      </w:pPr>
      <w:r>
        <w:drawing>
          <wp:inline xmlns:a="http://schemas.openxmlformats.org/drawingml/2006/main" xmlns:pic="http://schemas.openxmlformats.org/drawingml/2006/picture">
            <wp:extent cx="4023360" cy="6003608"/>
            <wp:docPr id="3" name="Picture 3"/>
            <wp:cNvGraphicFramePr>
              <a:graphicFrameLocks noChangeAspect="1"/>
            </wp:cNvGraphicFramePr>
            <a:graphic>
              <a:graphicData uri="http://schemas.openxmlformats.org/drawingml/2006/picture">
                <pic:pic>
                  <pic:nvPicPr>
                    <pic:cNvPr id="0" name="sign_In_Screen.jpg"/>
                    <pic:cNvPicPr/>
                  </pic:nvPicPr>
                  <pic:blipFill>
                    <a:blip r:embed="rId13"/>
                    <a:stretch>
                      <a:fillRect/>
                    </a:stretch>
                  </pic:blipFill>
                  <pic:spPr>
                    <a:xfrm>
                      <a:off x="0" y="0"/>
                      <a:ext cx="4023360" cy="6003608"/>
                    </a:xfrm>
                    <a:prstGeom prst="rect"/>
                  </pic:spPr>
                </pic:pic>
              </a:graphicData>
            </a:graphic>
          </wp:inline>
        </w:drawing>
      </w:r>
    </w:p>
    <w:p>
      <w:pPr>
        <w:spacing w:after="160"/>
        <w:jc w:val="center"/>
      </w:pPr>
      <w:r>
        <w:rPr>
          <w:rFonts w:ascii="Arial" w:hAnsi="Arial"/>
          <w:i/>
          <w:color w:val="486274"/>
          <w:sz w:val="17"/>
        </w:rPr>
        <w:t>Staff access screen: NFC, STAFFCODE/PIN and current session selection.</w:t>
      </w:r>
    </w:p>
    <w:p>
      <w:pPr>
        <w:pStyle w:val="Heading1"/>
      </w:pPr>
      <w:r>
        <w:t>3. SecureObs admin screen</w:t>
      </w:r>
    </w:p>
    <w:tbl>
      <w:tblPr>
        <w:tblW w:type="dxa" w:w="9360"/>
        <w:jc w:val="center"/>
        <w:tblLayout w:type="fixed"/>
        <w:tblLook w:firstColumn="1" w:firstRow="1" w:lastColumn="0" w:lastRow="0" w:noHBand="0" w:noVBand="1" w:val="04A0"/>
      </w:tblPr>
      <w:tblGrid>
        <w:gridCol w:w="3384"/>
        <w:gridCol w:w="5904"/>
      </w:tblGrid>
      <w:tr>
        <w:tc>
          <w:tcPr>
            <w:tcW w:type="dxa" w:w="338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Admin section</w:t>
            </w:r>
          </w:p>
        </w:tc>
        <w:tc>
          <w:tcPr>
            <w:tcW w:type="dxa" w:w="590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What it does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Audit log</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Search staff lookups, observation saves, medication activity, settings changes and failed access.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Company branding</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Upload or remove the organisation logo shown in the app header.</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NFC staff card format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Controls how staff cards are read. Keep {STAFFCODE} in the format, e.g. passcode={STAFFCODE}.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Sites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Create site or care home records. Select a site before adding wards beneath it.</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Wards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Create ward records, assign service type, set the initial observation interval and optionally create a manager account at the same time.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Service type</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Helps identify the setting type and supports local configuration decisions.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Observation interval</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Sets the starting intermittent observation frequency for new wards.</w:t>
            </w:r>
          </w:p>
        </w:tc>
      </w:tr>
    </w:tbl>
    <w:tbl>
      <w:tblPr>
        <w:tblW w:type="dxa" w:w="9360"/>
        <w:jc w:val="center"/>
        <w:tblLook w:firstColumn="1" w:firstRow="1" w:lastColumn="0" w:lastRow="0" w:noHBand="0" w:noVBand="1" w:val="04A0"/>
      </w:tblPr>
      <w:tblGrid>
        <w:gridCol w:w="10080"/>
      </w:tblGrid>
      <w:tr>
        <w:tc>
          <w:tcPr>
            <w:tcW w:type="dxa" w:w="10080"/>
            <w:shd w:fill="FFF4D6"/>
            <w:tcBorders>
              <w:top w:val="single" w:sz="6" w:space="0" w:color="C9E5EF"/>
              <w:left w:val="single" w:sz="6" w:space="0" w:color="C9E5EF"/>
              <w:bottom w:val="single" w:sz="6" w:space="0" w:color="C9E5EF"/>
              <w:right w:val="single" w:sz="6" w:space="0" w:color="C9E5EF"/>
            </w:tcBorders>
            <w:tcMar>
              <w:top w:w="150" w:type="dxa"/>
              <w:start w:w="170" w:type="dxa"/>
              <w:bottom w:w="150" w:type="dxa"/>
              <w:end w:w="170" w:type="dxa"/>
            </w:tcMar>
          </w:tcPr>
          <w:p>
            <w:pPr>
              <w:spacing w:after="40"/>
            </w:pPr>
            <w:r>
              <w:rPr>
                <w:rFonts w:ascii="Arial" w:hAnsi="Arial"/>
                <w:b/>
                <w:color w:val="082A58"/>
                <w:sz w:val="21"/>
              </w:rPr>
              <w:t>NFC format warning</w:t>
            </w:r>
          </w:p>
          <w:p>
            <w:pPr>
              <w:spacing w:after="0"/>
            </w:pPr>
            <w:r>
              <w:rPr>
                <w:rFonts w:ascii="Arial" w:hAnsi="Arial"/>
                <w:b w:val="0"/>
                <w:color w:val="264859"/>
                <w:sz w:val="19"/>
              </w:rPr>
              <w:t>Only change the NFC staff card format if you understand the tag data being written. Existing fallback formats and plain STAFFCODE still work, but a mismatched format can stop scans from resolving cleanly.</w:t>
            </w:r>
          </w:p>
        </w:tc>
      </w:tr>
    </w:tbl>
    <w:p>
      <w:pPr>
        <w:pStyle w:val="Heading1"/>
      </w:pPr>
      <w:r>
        <w:t>4. Adding or updating staff</w:t>
      </w:r>
    </w:p>
    <w:tbl>
      <w:tblPr>
        <w:tblW w:type="dxa" w:w="9360"/>
        <w:jc w:val="center"/>
        <w:tblLayout w:type="fixed"/>
        <w:tblLook w:firstColumn="1" w:firstRow="1" w:lastColumn="0" w:lastRow="0" w:noHBand="0" w:noVBand="1" w:val="04A0"/>
      </w:tblPr>
      <w:tblGrid>
        <w:gridCol w:w="936"/>
        <w:gridCol w:w="8352"/>
      </w:tblGrid>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1</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Search before adding</w:t>
            </w:r>
          </w:p>
          <w:p>
            <w:pPr>
              <w:spacing w:after="0"/>
            </w:pPr>
            <w:r>
              <w:rPr>
                <w:rFonts w:ascii="Arial" w:hAnsi="Arial"/>
                <w:color w:val="2D4652"/>
                <w:sz w:val="18"/>
              </w:rPr>
              <w:t>Search site staff by name, STAFFCODE or role. If the person already exists, select them and update ward access instead of creating a duplicate.</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2</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Choose Add new</w:t>
            </w:r>
          </w:p>
          <w:p>
            <w:pPr>
              <w:spacing w:after="0"/>
            </w:pPr>
            <w:r>
              <w:rPr>
                <w:rFonts w:ascii="Arial" w:hAnsi="Arial"/>
                <w:color w:val="2D4652"/>
                <w:sz w:val="18"/>
              </w:rPr>
              <w:t>Use Add new to clear the draft and create a permanent staff record.</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3</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Enter identity details</w:t>
            </w:r>
          </w:p>
          <w:p>
            <w:pPr>
              <w:spacing w:after="0"/>
            </w:pPr>
            <w:r>
              <w:rPr>
                <w:rFonts w:ascii="Arial" w:hAnsi="Arial"/>
                <w:color w:val="2D4652"/>
                <w:sz w:val="18"/>
              </w:rPr>
              <w:t>Complete Staff name, STAFFCODE, Designation and optional initial PIN. If no initial PIN is entered, the default is 1111.</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4</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Select role</w:t>
            </w:r>
          </w:p>
          <w:p>
            <w:pPr>
              <w:spacing w:after="0"/>
            </w:pPr>
            <w:r>
              <w:rPr>
                <w:rFonts w:ascii="Arial" w:hAnsi="Arial"/>
                <w:color w:val="2D4652"/>
                <w:sz w:val="18"/>
              </w:rPr>
              <w:t>Choose nurse, HCF, OT, security or doctor. The role controls which features the staff member can use.</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5</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Set ward access</w:t>
            </w:r>
          </w:p>
          <w:p>
            <w:pPr>
              <w:spacing w:after="0"/>
            </w:pPr>
            <w:r>
              <w:rPr>
                <w:rFonts w:ascii="Arial" w:hAnsi="Arial"/>
                <w:color w:val="2D4652"/>
                <w:sz w:val="18"/>
              </w:rPr>
              <w:t>Select at least one ward. Multi-ward staff can be given access to more than one ward at the same site or organisation.</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6</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Set status</w:t>
            </w:r>
          </w:p>
          <w:p>
            <w:pPr>
              <w:spacing w:after="0"/>
            </w:pPr>
            <w:r>
              <w:rPr>
                <w:rFonts w:ascii="Arial" w:hAnsi="Arial"/>
                <w:color w:val="2D4652"/>
                <w:sz w:val="18"/>
              </w:rPr>
              <w:t>Active staff can sign in. Inactive staff should not be able to continue working from that record.</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7</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Doctor prescribing</w:t>
            </w:r>
          </w:p>
          <w:p>
            <w:pPr>
              <w:spacing w:after="0"/>
            </w:pPr>
            <w:r>
              <w:rPr>
                <w:rFonts w:ascii="Arial" w:hAnsi="Arial"/>
                <w:color w:val="2D4652"/>
                <w:sz w:val="18"/>
              </w:rPr>
              <w:t>Only doctor records can be marked Can prescribe. Leave this off unless prescribing access is intended.</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8</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Save the record</w:t>
            </w:r>
          </w:p>
          <w:p>
            <w:pPr>
              <w:spacing w:after="0"/>
            </w:pPr>
            <w:r>
              <w:rPr>
                <w:rFonts w:ascii="Arial" w:hAnsi="Arial"/>
                <w:color w:val="2D4652"/>
                <w:sz w:val="18"/>
              </w:rPr>
              <w:t>Tap Add staff member or Update staff member. A confirmation appears once the save has been accepted locally and queued/synced as needed.</w:t>
            </w:r>
          </w:p>
        </w:tc>
      </w:tr>
    </w:tbl>
    <w:tbl>
      <w:tblPr>
        <w:tblW w:type="dxa" w:w="9360"/>
        <w:jc w:val="center"/>
        <w:tblLayout w:type="fixed"/>
        <w:tblLook w:firstColumn="1" w:firstRow="1" w:lastColumn="0" w:lastRow="0" w:noHBand="0" w:noVBand="1" w:val="04A0"/>
      </w:tblPr>
      <w:tblGrid>
        <w:gridCol w:w="3384"/>
        <w:gridCol w:w="5904"/>
      </w:tblGrid>
      <w:tr>
        <w:tc>
          <w:tcPr>
            <w:tcW w:type="dxa" w:w="338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Role</w:t>
            </w:r>
          </w:p>
        </w:tc>
        <w:tc>
          <w:tcPr>
            <w:tcW w:type="dxa" w:w="590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Typical use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nurse</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Clinical nursing access. Can use core ward workflows and manager-permitted clinical screens.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hcf</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Healthcare/support worker access. Cannot be Nurse in Charge or Medication Nurse in rota assignment.</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ot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Occupational therapy role where enabled by the service.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security</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Security-focused access for security checks and related ward activity.</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doctor</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Medical role. Can be granted prescribing access with the Can prescribe control.</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manager / super admin</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Higher access roles used for settings, setup and governance controls.</w:t>
            </w:r>
          </w:p>
        </w:tc>
      </w:tr>
    </w:tbl>
    <w:p>
      <w:pPr>
        <w:pStyle w:val="Heading1"/>
      </w:pPr>
      <w:r>
        <w:t>5. Writing NFC staff tags</w:t>
      </w:r>
    </w:p>
    <w:tbl>
      <w:tblPr>
        <w:tblW w:type="dxa" w:w="9360"/>
        <w:jc w:val="center"/>
        <w:tblLook w:firstColumn="1" w:firstRow="1" w:lastColumn="0" w:lastRow="0" w:noHBand="0" w:noVBand="1" w:val="04A0"/>
      </w:tblPr>
      <w:tblGrid>
        <w:gridCol w:w="10080"/>
      </w:tblGrid>
      <w:tr>
        <w:tc>
          <w:tcPr>
            <w:tcW w:type="dxa" w:w="10080"/>
            <w:shd w:fill="EAF6FB"/>
            <w:tcBorders>
              <w:top w:val="single" w:sz="6" w:space="0" w:color="C9E5EF"/>
              <w:left w:val="single" w:sz="6" w:space="0" w:color="C9E5EF"/>
              <w:bottom w:val="single" w:sz="6" w:space="0" w:color="C9E5EF"/>
              <w:right w:val="single" w:sz="6" w:space="0" w:color="C9E5EF"/>
            </w:tcBorders>
            <w:tcMar>
              <w:top w:w="150" w:type="dxa"/>
              <w:start w:w="170" w:type="dxa"/>
              <w:bottom w:w="150" w:type="dxa"/>
              <w:end w:w="170" w:type="dxa"/>
            </w:tcMar>
          </w:tcPr>
          <w:p>
            <w:pPr>
              <w:spacing w:after="40"/>
            </w:pPr>
            <w:r>
              <w:rPr>
                <w:rFonts w:ascii="Arial" w:hAnsi="Arial"/>
                <w:b/>
                <w:color w:val="082A58"/>
                <w:sz w:val="21"/>
              </w:rPr>
              <w:t>Permanent staff cards</w:t>
            </w:r>
          </w:p>
          <w:p>
            <w:pPr>
              <w:spacing w:after="0"/>
            </w:pPr>
            <w:r>
              <w:rPr>
                <w:rFonts w:ascii="Arial" w:hAnsi="Arial"/>
                <w:b w:val="0"/>
                <w:color w:val="264859"/>
                <w:sz w:val="19"/>
              </w:rPr>
              <w:t>For permanent staff, save the staff member first, then use Write NFC tag from the confirmation prompt or the NFC staff tag panel. Temporary staff cards use the separate Temporary staff setup route described next.</w:t>
            </w:r>
          </w:p>
        </w:tc>
      </w:tr>
    </w:tbl>
    <w:tbl>
      <w:tblPr>
        <w:tblW w:type="dxa" w:w="9360"/>
        <w:jc w:val="center"/>
        <w:tblLayout w:type="fixed"/>
        <w:tblLook w:firstColumn="1" w:firstRow="1" w:lastColumn="0" w:lastRow="0" w:noHBand="0" w:noVBand="1" w:val="04A0"/>
      </w:tblPr>
      <w:tblGrid>
        <w:gridCol w:w="936"/>
        <w:gridCol w:w="8352"/>
      </w:tblGrid>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1</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Save staff first</w:t>
            </w:r>
          </w:p>
          <w:p>
            <w:pPr>
              <w:spacing w:after="0"/>
            </w:pPr>
            <w:r>
              <w:rPr>
                <w:rFonts w:ascii="Arial" w:hAnsi="Arial"/>
                <w:color w:val="2D4652"/>
                <w:sz w:val="18"/>
              </w:rPr>
              <w:t>Enter staff details and save the staff member. The app needs the staff record before writing the tag.</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2</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Tap Write NFC tag</w:t>
            </w:r>
          </w:p>
          <w:p>
            <w:pPr>
              <w:spacing w:after="0"/>
            </w:pPr>
            <w:r>
              <w:rPr>
                <w:rFonts w:ascii="Arial" w:hAnsi="Arial"/>
                <w:color w:val="2D4652"/>
                <w:sz w:val="18"/>
              </w:rPr>
              <w:t>The panel shows the payload that will be written, using the organisation NFC format.</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3</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Hold the blank tag to the device</w:t>
            </w:r>
          </w:p>
          <w:p>
            <w:pPr>
              <w:spacing w:after="0"/>
            </w:pPr>
            <w:r>
              <w:rPr>
                <w:rFonts w:ascii="Arial" w:hAnsi="Arial"/>
                <w:color w:val="2D4652"/>
                <w:sz w:val="18"/>
              </w:rPr>
              <w:t>Keep the tag still until the app confirms it has been written.</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4</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Test the tag</w:t>
            </w:r>
          </w:p>
          <w:p>
            <w:pPr>
              <w:spacing w:after="0"/>
            </w:pPr>
            <w:r>
              <w:rPr>
                <w:rFonts w:ascii="Arial" w:hAnsi="Arial"/>
                <w:color w:val="2D4652"/>
                <w:sz w:val="18"/>
              </w:rPr>
              <w:t>Sign out and scan the card on the staff access screen to confirm it selects the correct staff member.</w:t>
            </w:r>
          </w:p>
        </w:tc>
      </w:tr>
    </w:tbl>
    <w:p>
      <w:pPr>
        <w:pStyle w:val="Heading1"/>
      </w:pPr>
      <w:r>
        <w:t>6. Temporary bank and agency staff</w:t>
      </w:r>
    </w:p>
    <w:tbl>
      <w:tblPr>
        <w:tblW w:type="dxa" w:w="9360"/>
        <w:jc w:val="center"/>
        <w:tblLayout w:type="fixed"/>
        <w:tblLook w:firstColumn="1" w:firstRow="1" w:lastColumn="0" w:lastRow="0" w:noHBand="0" w:noVBand="1" w:val="04A0"/>
      </w:tblPr>
      <w:tblGrid>
        <w:gridCol w:w="936"/>
        <w:gridCol w:w="8352"/>
      </w:tblGrid>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1</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Open Temporary staff setup</w:t>
            </w:r>
          </w:p>
          <w:p>
            <w:pPr>
              <w:spacing w:after="0"/>
            </w:pPr>
            <w:r>
              <w:rPr>
                <w:rFonts w:ascii="Arial" w:hAnsi="Arial"/>
                <w:color w:val="2D4652"/>
                <w:sz w:val="18"/>
              </w:rPr>
              <w:t>Use the dedicated manager route rather than creating a temporary worker as permanent staff.</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2</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Record the real staff identity</w:t>
            </w:r>
          </w:p>
          <w:p>
            <w:pPr>
              <w:spacing w:after="0"/>
            </w:pPr>
            <w:r>
              <w:rPr>
                <w:rFonts w:ascii="Arial" w:hAnsi="Arial"/>
                <w:color w:val="2D4652"/>
                <w:sz w:val="18"/>
              </w:rPr>
              <w:t>Enter the worker's name, designation and an available TEMP STAFFCODE. Never share one temporary record between workers.</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3</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Set the access window</w:t>
            </w:r>
          </w:p>
          <w:p>
            <w:pPr>
              <w:spacing w:after="0"/>
            </w:pPr>
            <w:r>
              <w:rPr>
                <w:rFonts w:ascii="Arial" w:hAnsi="Arial"/>
                <w:color w:val="2D4652"/>
                <w:sz w:val="18"/>
              </w:rPr>
              <w:t>Choose the exact start and end date and time. Access works only during that saved allocation.</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4</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Save before writing NFC</w:t>
            </w:r>
          </w:p>
          <w:p>
            <w:pPr>
              <w:spacing w:after="0"/>
            </w:pPr>
            <w:r>
              <w:rPr>
                <w:rFonts w:ascii="Arial" w:hAnsi="Arial"/>
                <w:color w:val="2D4652"/>
                <w:sz w:val="18"/>
              </w:rPr>
              <w:t>Save the temporary record, then write and test the reusable NFC card. The card identifies the staff record but does not extend its access window.</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5</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First sign-in</w:t>
            </w:r>
          </w:p>
          <w:p>
            <w:pPr>
              <w:spacing w:after="0"/>
            </w:pPr>
            <w:r>
              <w:rPr>
                <w:rFonts w:ascii="Arial" w:hAnsi="Arial"/>
                <w:color w:val="2D4652"/>
                <w:sz w:val="18"/>
              </w:rPr>
              <w:t>Temporary staff begin with PIN 1111 and must choose a personal 4 to 6 digit PIN before opening ward screens.</w:t>
            </w:r>
          </w:p>
        </w:tc>
      </w:tr>
      <w:tr>
        <w:tc>
          <w:tcPr>
            <w:tcW w:type="dxa" w:w="936"/>
            <w:shd w:fill="0A6C85"/>
            <w:tcBorders>
              <w:top w:val="single" w:sz="6" w:space="0" w:color="0A6C85"/>
              <w:left w:val="single" w:sz="6" w:space="0" w:color="0A6C85"/>
              <w:bottom w:val="single" w:sz="6" w:space="0" w:color="0A6C85"/>
              <w:right w:val="single" w:sz="6" w:space="0" w:color="0A6C85"/>
            </w:tcBorders>
            <w:tcMar>
              <w:top w:w="140" w:type="dxa"/>
              <w:start w:w="100" w:type="dxa"/>
              <w:bottom w:w="140" w:type="dxa"/>
              <w:end w:w="100" w:type="dxa"/>
            </w:tcMar>
          </w:tcPr>
          <w:p>
            <w:pPr>
              <w:spacing w:after="0"/>
              <w:jc w:val="center"/>
            </w:pPr>
            <w:r>
              <w:rPr>
                <w:rFonts w:ascii="Arial" w:hAnsi="Arial"/>
                <w:b/>
                <w:color w:val="FFFFFF"/>
                <w:sz w:val="28"/>
              </w:rPr>
              <w:t>6</w:t>
            </w:r>
          </w:p>
        </w:tc>
        <w:tc>
          <w:tcPr>
            <w:tcW w:type="dxa" w:w="8352"/>
            <w:shd w:fill="FFFFFF"/>
            <w:tcBorders>
              <w:top w:val="single" w:sz="6" w:space="0" w:color="D6E5EC"/>
              <w:left w:val="single" w:sz="6" w:space="0" w:color="D6E5EC"/>
              <w:bottom w:val="single" w:sz="6" w:space="0" w:color="D6E5EC"/>
              <w:right w:val="single" w:sz="6" w:space="0" w:color="D6E5EC"/>
            </w:tcBorders>
            <w:tcMar>
              <w:top w:w="120" w:type="dxa"/>
              <w:start w:w="150" w:type="dxa"/>
              <w:bottom w:w="120" w:type="dxa"/>
              <w:end w:w="150" w:type="dxa"/>
            </w:tcMar>
          </w:tcPr>
          <w:p>
            <w:pPr>
              <w:spacing w:after="40"/>
            </w:pPr>
            <w:r>
              <w:rPr>
                <w:rFonts w:ascii="Arial" w:hAnsi="Arial"/>
                <w:b/>
                <w:color w:val="082A58"/>
                <w:sz w:val="20"/>
              </w:rPr>
              <w:t>Expiry warning</w:t>
            </w:r>
          </w:p>
          <w:p>
            <w:pPr>
              <w:spacing w:after="0"/>
            </w:pPr>
            <w:r>
              <w:rPr>
                <w:rFonts w:ascii="Arial" w:hAnsi="Arial"/>
                <w:color w:val="2D4652"/>
                <w:sz w:val="18"/>
              </w:rPr>
              <w:t>Five minutes before the allocation ends, SecureObs warns the worker to save notes or unfinished work. The session signs out automatically at the saved end time.</w:t>
            </w:r>
          </w:p>
        </w:tc>
      </w:tr>
    </w:tbl>
    <w:tbl>
      <w:tblPr>
        <w:tblW w:type="dxa" w:w="9360"/>
        <w:jc w:val="center"/>
        <w:tblLook w:firstColumn="1" w:firstRow="1" w:lastColumn="0" w:lastRow="0" w:noHBand="0" w:noVBand="1" w:val="04A0"/>
      </w:tblPr>
      <w:tblGrid>
        <w:gridCol w:w="10080"/>
      </w:tblGrid>
      <w:tr>
        <w:tc>
          <w:tcPr>
            <w:tcW w:type="dxa" w:w="10080"/>
            <w:shd w:fill="FFF4D6"/>
            <w:tcBorders>
              <w:top w:val="single" w:sz="6" w:space="0" w:color="C9E5EF"/>
              <w:left w:val="single" w:sz="6" w:space="0" w:color="C9E5EF"/>
              <w:bottom w:val="single" w:sz="6" w:space="0" w:color="C9E5EF"/>
              <w:right w:val="single" w:sz="6" w:space="0" w:color="C9E5EF"/>
            </w:tcBorders>
            <w:tcMar>
              <w:top w:w="150" w:type="dxa"/>
              <w:start w:w="170" w:type="dxa"/>
              <w:bottom w:w="150" w:type="dxa"/>
              <w:end w:w="170" w:type="dxa"/>
            </w:tcMar>
          </w:tcPr>
          <w:p>
            <w:pPr>
              <w:spacing w:after="40"/>
            </w:pPr>
            <w:r>
              <w:rPr>
                <w:rFonts w:ascii="Arial" w:hAnsi="Arial"/>
                <w:b/>
                <w:color w:val="082A58"/>
                <w:sz w:val="21"/>
              </w:rPr>
              <w:t>Temporary access control</w:t>
            </w:r>
          </w:p>
          <w:p>
            <w:pPr>
              <w:spacing w:after="0"/>
            </w:pPr>
            <w:r>
              <w:rPr>
                <w:rFonts w:ascii="Arial" w:hAnsi="Arial"/>
                <w:b w:val="0"/>
                <w:color w:val="264859"/>
                <w:sz w:val="19"/>
              </w:rPr>
              <w:t>Extending a shift requires an authorised manager to update the saved allocation. Do not bypass expiry by creating duplicate workers or sharing another person's login.</w:t>
            </w:r>
          </w:p>
        </w:tc>
      </w:tr>
    </w:tbl>
    <w:p>
      <w:pPr>
        <w:pStyle w:val="Heading1"/>
      </w:pPr>
      <w:r>
        <w:t>7. Ward settings map</w:t>
      </w:r>
    </w:p>
    <w:tbl>
      <w:tblPr>
        <w:tblW w:type="dxa" w:w="9360"/>
        <w:jc w:val="center"/>
        <w:tblLayout w:type="fixed"/>
        <w:tblLook w:firstColumn="1" w:firstRow="1" w:lastColumn="0" w:lastRow="0" w:noHBand="0" w:noVBand="1" w:val="04A0"/>
      </w:tblPr>
      <w:tblGrid>
        <w:gridCol w:w="3384"/>
        <w:gridCol w:w="5904"/>
      </w:tblGrid>
      <w:tr>
        <w:tc>
          <w:tcPr>
            <w:tcW w:type="dxa" w:w="338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Setting</w:t>
            </w:r>
          </w:p>
        </w:tc>
        <w:tc>
          <w:tcPr>
            <w:tcW w:type="dxa" w:w="590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Manager explanation</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Landing page after login</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Choose whether staff first see Ward overview or Patient checks after selecting the ward.</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NEWS2</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Shows NEWS2 charting and score history.</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Enhanced observations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Enables TESO start, plan of care and enhanced observation recording.</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Security checks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Enables ward checkpoint recording and security check workflows.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Configure security checks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Opens the setup screen for the ward’s security check areas/items.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Medication chart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Enables medication due prompts, prescribing and administration recording where roles permit.</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Assessment forms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Enables care-home style forms, signatures and printable assessments.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Food and fluid chart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Enables meal, snack and drink intake monitoring.</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Observation locations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Add, remove or restore location labels that match local language, for example Bedroom instead of Side room. Keep at least one location.</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Verified observations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When included in the organisation package, enables optional NFC or QR room and personal identification verification.</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Intermittent observation interval</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Sets the default routine observation frequency. Quick buttons are 15, 30 and 60 minutes, with -5/+5 controls.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Staff session timeout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Controls the lock countdown after inactivity. The countdown starts after 2 minutes without touch or typing.</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Staff rota</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Shows or hides the staff rota page for that ward.</w:t>
            </w:r>
          </w:p>
        </w:tc>
      </w:tr>
    </w:tbl>
    <w:p>
      <w:r>
        <w:br w:type="page"/>
      </w:r>
    </w:p>
    <w:p>
      <w:pPr>
        <w:pStyle w:val="Heading1"/>
      </w:pPr>
      <w:r>
        <w:t>8. Patient management and identification</w:t>
      </w:r>
    </w:p>
    <w:tbl>
      <w:tblPr>
        <w:tblW w:type="dxa" w:w="9360"/>
        <w:jc w:val="center"/>
        <w:tblLayout w:type="fixed"/>
        <w:tblLook w:firstColumn="1" w:firstRow="1" w:lastColumn="0" w:lastRow="0" w:noHBand="0" w:noVBand="1" w:val="04A0"/>
      </w:tblPr>
      <w:tblGrid>
        <w:gridCol w:w="3384"/>
        <w:gridCol w:w="5904"/>
      </w:tblGrid>
      <w:tr>
        <w:tc>
          <w:tcPr>
            <w:tcW w:type="dxa" w:w="338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Area</w:t>
            </w:r>
          </w:p>
        </w:tc>
        <w:tc>
          <w:tcPr>
            <w:tcW w:type="dxa" w:w="590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Manager guidance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Patient identity</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Record name, hospital or NHS number, room, date of birth and relevant next-of-kin contact details accurately.</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Transfer</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Choose the destination ward, record a reason and check the confirmation prompt before transferring. Transfer access is restricted to authorised roles.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Archive</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Record a reason and confirm before archiving. Archived patients remain available to authorised managers and can be restored if they return.</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Room tag</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Create an NFC or printable QR location tag. It verifies the room, but staff must still visually observe the patient.</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Personal badge</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With consent or a recorded best-interests decision, create an optional patient NFC/QR badge and printable ID card.</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Tag privacy</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Tags contain only a random SecureObs identifier. Names, dates of birth and hospital numbers are not written into NFC or QR payloads.</w:t>
            </w:r>
          </w:p>
        </w:tc>
      </w:tr>
    </w:tbl>
    <w:p>
      <w:pPr>
        <w:pStyle w:val="Heading1"/>
      </w:pPr>
      <w:r>
        <w:t>9. Recommended manager workflow</w:t>
      </w:r>
    </w:p>
    <w:p>
      <w:pPr>
        <w:pStyle w:val="ListBullet"/>
        <w:spacing w:after="60"/>
      </w:pPr>
      <w:r>
        <w:rPr>
          <w:rFonts w:ascii="Arial" w:hAnsi="Arial"/>
          <w:color w:val="1E3744"/>
          <w:sz w:val="19"/>
        </w:rPr>
        <w:t>Start with organisation setup: add the logo, confirm NFC format, create sites and create wards.</w:t>
      </w:r>
    </w:p>
    <w:p>
      <w:pPr>
        <w:pStyle w:val="ListBullet"/>
        <w:spacing w:after="60"/>
      </w:pPr>
      <w:r>
        <w:rPr>
          <w:rFonts w:ascii="Arial" w:hAnsi="Arial"/>
          <w:color w:val="1E3744"/>
          <w:sz w:val="19"/>
        </w:rPr>
        <w:t>Create or update manager accounts before wider staff onboarding.</w:t>
      </w:r>
    </w:p>
    <w:p>
      <w:pPr>
        <w:pStyle w:val="ListBullet"/>
        <w:spacing w:after="60"/>
      </w:pPr>
      <w:r>
        <w:rPr>
          <w:rFonts w:ascii="Arial" w:hAnsi="Arial"/>
          <w:color w:val="1E3744"/>
          <w:sz w:val="19"/>
        </w:rPr>
        <w:t>Add permanent staff records, assign ward access and set active status.</w:t>
      </w:r>
    </w:p>
    <w:p>
      <w:pPr>
        <w:pStyle w:val="ListBullet"/>
        <w:spacing w:after="60"/>
      </w:pPr>
      <w:r>
        <w:rPr>
          <w:rFonts w:ascii="Arial" w:hAnsi="Arial"/>
          <w:color w:val="1E3744"/>
          <w:sz w:val="19"/>
        </w:rPr>
        <w:t>Create bank and agency workers in Temporary staff setup with an exact access window.</w:t>
      </w:r>
    </w:p>
    <w:p>
      <w:pPr>
        <w:pStyle w:val="ListBullet"/>
        <w:spacing w:after="60"/>
      </w:pPr>
      <w:r>
        <w:rPr>
          <w:rFonts w:ascii="Arial" w:hAnsi="Arial"/>
          <w:color w:val="1E3744"/>
          <w:sz w:val="19"/>
        </w:rPr>
        <w:t>Write and test NFC tags while the staff member is present.</w:t>
      </w:r>
    </w:p>
    <w:p>
      <w:pPr>
        <w:pStyle w:val="ListBullet"/>
        <w:spacing w:after="60"/>
      </w:pPr>
      <w:r>
        <w:rPr>
          <w:rFonts w:ascii="Arial" w:hAnsi="Arial"/>
          <w:color w:val="1E3744"/>
          <w:sz w:val="19"/>
        </w:rPr>
        <w:t>Turn on only the modules the ward is ready to use.</w:t>
      </w:r>
    </w:p>
    <w:p>
      <w:pPr>
        <w:pStyle w:val="ListBullet"/>
        <w:spacing w:after="60"/>
      </w:pPr>
      <w:r>
        <w:rPr>
          <w:rFonts w:ascii="Arial" w:hAnsi="Arial"/>
          <w:color w:val="1E3744"/>
          <w:sz w:val="19"/>
        </w:rPr>
        <w:t>Set observation interval and session timeout according to local policy.</w:t>
      </w:r>
    </w:p>
    <w:p>
      <w:pPr>
        <w:pStyle w:val="ListBullet"/>
        <w:spacing w:after="60"/>
      </w:pPr>
      <w:r>
        <w:rPr>
          <w:rFonts w:ascii="Arial" w:hAnsi="Arial"/>
          <w:color w:val="1E3744"/>
          <w:sz w:val="19"/>
        </w:rPr>
        <w:t>Enable staff rota only once the ward is ready to allocate roles inside SecureObs.</w:t>
      </w:r>
    </w:p>
    <w:p>
      <w:pPr>
        <w:pStyle w:val="ListBullet"/>
        <w:spacing w:after="60"/>
      </w:pPr>
      <w:r>
        <w:rPr>
          <w:rFonts w:ascii="Arial" w:hAnsi="Arial"/>
          <w:color w:val="1E3744"/>
          <w:sz w:val="19"/>
        </w:rPr>
        <w:t>Use the audit log when checking sign-ins, failed access or settings changes.</w:t>
      </w:r>
    </w:p>
    <w:p>
      <w:pPr>
        <w:pStyle w:val="Heading1"/>
      </w:pPr>
      <w:r>
        <w:t>10. Safety checks before go-live</w:t>
      </w:r>
    </w:p>
    <w:tbl>
      <w:tblPr>
        <w:tblW w:type="dxa" w:w="9360"/>
        <w:jc w:val="center"/>
        <w:tblLayout w:type="fixed"/>
        <w:tblLook w:firstColumn="1" w:firstRow="1" w:lastColumn="0" w:lastRow="0" w:noHBand="0" w:noVBand="1" w:val="04A0"/>
      </w:tblPr>
      <w:tblGrid>
        <w:gridCol w:w="3384"/>
        <w:gridCol w:w="5904"/>
      </w:tblGrid>
      <w:tr>
        <w:tc>
          <w:tcPr>
            <w:tcW w:type="dxa" w:w="338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Check</w:t>
            </w:r>
          </w:p>
        </w:tc>
        <w:tc>
          <w:tcPr>
            <w:tcW w:type="dxa" w:w="590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What good looks like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Sites and wards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Every live ward exists under the correct site.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Manager access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At least two appropriate managers or admins can access settings.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Staff access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Permanent staff have correct roles, ward access and active status.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NFC tags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Tags are written, tested and labelled according to local process.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Temporary access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Bank and agency records have individual identities, correct wards and exact start/end times.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Patient administration</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Transfer, archive, restore and identification-tag responsibilities are assigned to authorised roles.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Session timeout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Timeout is agreed locally. Minimum effective lock is 2 minutes grace plus the selected timeout.</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Modules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Only approved modules are enabled for the ward.</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Rota</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Rota is enabled only if staff are expected to use it.</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Audit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Managers know where to view audit events and failed access.</w:t>
            </w:r>
          </w:p>
        </w:tc>
      </w:tr>
    </w:tbl>
    <w:p>
      <w:pPr>
        <w:pStyle w:val="Heading1"/>
      </w:pPr>
      <w:r>
        <w:t>11. Troubleshooting</w:t>
      </w:r>
    </w:p>
    <w:tbl>
      <w:tblPr>
        <w:tblW w:type="dxa" w:w="9360"/>
        <w:jc w:val="center"/>
        <w:tblLayout w:type="fixed"/>
        <w:tblLook w:firstColumn="1" w:firstRow="1" w:lastColumn="0" w:lastRow="0" w:noHBand="0" w:noVBand="1" w:val="04A0"/>
      </w:tblPr>
      <w:tblGrid>
        <w:gridCol w:w="3384"/>
        <w:gridCol w:w="5904"/>
      </w:tblGrid>
      <w:tr>
        <w:tc>
          <w:tcPr>
            <w:tcW w:type="dxa" w:w="338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Issue</w:t>
            </w:r>
          </w:p>
        </w:tc>
        <w:tc>
          <w:tcPr>
            <w:tcW w:type="dxa" w:w="5904"/>
            <w:shd w:fill="0A2F63"/>
            <w:tcBorders>
              <w:top w:val="single" w:sz="6" w:space="0" w:color="0A2F63"/>
              <w:left w:val="single" w:sz="6" w:space="0" w:color="0A2F63"/>
              <w:bottom w:val="single" w:sz="6" w:space="0" w:color="0A2F63"/>
              <w:right w:val="single" w:sz="6" w:space="0" w:color="0A2F63"/>
            </w:tcBorders>
            <w:tcMar>
              <w:top w:w="90" w:type="dxa"/>
              <w:start w:w="120" w:type="dxa"/>
              <w:bottom w:w="90" w:type="dxa"/>
              <w:end w:w="120" w:type="dxa"/>
            </w:tcMar>
          </w:tcPr>
          <w:p>
            <w:pPr>
              <w:spacing w:after="0"/>
            </w:pPr>
            <w:r>
              <w:rPr>
                <w:rFonts w:ascii="Arial" w:hAnsi="Arial"/>
                <w:b/>
                <w:color w:val="FFFFFF"/>
                <w:sz w:val="18"/>
              </w:rPr>
              <w:t>Manager action</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Staff cannot sign in</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Check active status, STAFFCODE spelling, PIN, ward access and whether the staff member is locked after failed attempts.</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NFC tag reads the wrong code</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Check the organisation NFC staff card format and rewrite the tag after confirming STAFFCODE.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Manager cannot edit settings</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Confirm the signed-in staff member has manager or admin access and has completed any required PIN change.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Rota save does not appear</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Check the staff member has manager/nurse/super admin access and that the tablet sync queue is clear.</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Feature is missing</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Open Ward settings and confirm the module is switched on for that ward.</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Temporary worker signed out</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Check the saved allocation end time. Extend it only if the worker remains authorised and the manager has confirmed the new end time.</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Patient tag does not verify</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Confirm Verified observations is included, the correct patient or room tag is active, and the tablet has NFC or camera permission.</w:t>
            </w:r>
          </w:p>
        </w:tc>
      </w:tr>
      <w:tr>
        <w:tc>
          <w:tcPr>
            <w:tcW w:type="dxa" w:w="3384"/>
            <w:shd w:fill="F3F8FA"/>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color w:val="082A58"/>
                <w:sz w:val="18"/>
              </w:rPr>
              <w:t>App locks after inactivity</w:t>
            </w:r>
          </w:p>
        </w:tc>
        <w:tc>
          <w:tcPr>
            <w:tcW w:type="dxa" w:w="5904"/>
            <w:shd w:fill="FFFFFF"/>
            <w:tcBorders>
              <w:top w:val="single" w:sz="6" w:space="0" w:color="D6E5EC"/>
              <w:left w:val="single" w:sz="6" w:space="0" w:color="D6E5EC"/>
              <w:bottom w:val="single" w:sz="6" w:space="0" w:color="D6E5EC"/>
              <w:right w:val="single" w:sz="6" w:space="0" w:color="D6E5EC"/>
            </w:tcBorders>
            <w:tcMar>
              <w:top w:w="90" w:type="dxa"/>
              <w:start w:w="120" w:type="dxa"/>
              <w:bottom w:w="90" w:type="dxa"/>
              <w:end w:w="120" w:type="dxa"/>
            </w:tcMar>
            <w:vAlign w:val="center"/>
          </w:tcPr>
          <w:p>
            <w:pPr>
              <w:spacing w:after="0"/>
            </w:pPr>
            <w:r>
              <w:rPr>
                <w:rFonts w:ascii="Arial" w:hAnsi="Arial"/>
                <w:b w:val="0"/>
                <w:color w:val="1F3642"/>
                <w:sz w:val="18"/>
              </w:rPr>
              <w:t>This is expected. Any touch or typing resets the countdown. The minimum effective timeout is currently 17 minutes.</w:t>
            </w:r>
          </w:p>
        </w:tc>
      </w:tr>
    </w:tbl>
    <w:sectPr w:rsidR="00FC693F" w:rsidRPr="0006063C" w:rsidSect="00034616">
      <w:headerReference w:type="default" r:id="rId9"/>
      <w:footerReference w:type="default" r:id="rId10"/>
      <w:pgSz w:w="12240" w:h="15840"/>
      <w:pgMar w:top="1181" w:right="1080" w:bottom="1037" w:left="108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color w:val="486274"/>
        <w:sz w:val="16"/>
      </w:rPr>
      <w:t>SecureObs • Manager route, staff setup and ward settings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486274"/>
        <w:sz w:val="17"/>
      </w:rPr>
      <w:t>SecureObs Manager Training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224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082A5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45DB9"/>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082A5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