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B"/>
          <w:sz w:val="40"/>
        </w:rPr>
        <w:t>Anatomical Poset Builder — Session Instructions</w:t>
      </w:r>
    </w:p>
    <w:p/>
    <w:p>
      <w:pPr>
        <w:pStyle w:val="Heading1"/>
      </w:pPr>
      <w:r>
        <w:t>Part 1 — Supervisor (Güney)</w:t>
      </w:r>
    </w:p>
    <w:p>
      <w:pPr>
        <w:pStyle w:val="Heading2"/>
      </w:pPr>
      <w:r>
        <w:t>Before launching</w:t>
      </w:r>
    </w:p>
    <w:p>
      <w:pPr>
        <w:spacing w:after="80"/>
      </w:pPr>
      <w:r>
        <w:rPr>
          <w:sz w:val="22"/>
        </w:rPr>
        <w:t>Place the imaging file here:</w:t>
      </w:r>
    </w:p>
    <w:p>
      <w:pPr>
        <w:spacing w:after="80"/>
        <w:ind w:left="432"/>
      </w:pPr>
      <w:r>
        <w:rPr>
          <w:rFonts w:ascii="Courier New" w:hAnsi="Courier New"/>
          <w:color w:val="1A1A5E"/>
          <w:sz w:val="20"/>
        </w:rPr>
        <w:t>&lt;pathToRepo&gt;/assets/visible_human_tensors/full_body_tensor_rgb.npy</w:t>
      </w:r>
    </w:p>
    <w:p>
      <w:pPr>
        <w:spacing w:after="80"/>
      </w:pPr>
      <w:r>
        <w:rPr>
          <w:sz w:val="22"/>
        </w:rPr>
        <w:t>Then launch the app:</w:t>
      </w:r>
    </w:p>
    <w:p>
      <w:pPr>
        <w:spacing w:after="80"/>
        <w:ind w:left="432"/>
      </w:pPr>
      <w:r>
        <w:rPr>
          <w:rFonts w:ascii="Courier New" w:hAnsi="Courier New"/>
          <w:color w:val="1A1A5E"/>
          <w:sz w:val="20"/>
        </w:rPr>
        <w:t>python run.py</w:t>
      </w:r>
    </w:p>
    <w:p>
      <w:pPr>
        <w:pStyle w:val="Heading2"/>
      </w:pPr>
      <w:r>
        <w:t>Configure the session</w:t>
      </w:r>
    </w:p>
    <w:p>
      <w:pPr>
        <w:pStyle w:val="ListNumber"/>
        <w:spacing w:after="80"/>
      </w:pPr>
      <w:r>
        <w:rPr>
          <w:sz w:val="22"/>
        </w:rPr>
        <w:t>Click Load Structures → open CoM_cleaned_global_avg_xyz.json.</w:t>
      </w:r>
    </w:p>
    <w:p>
      <w:pPr>
        <w:pStyle w:val="ListNumber"/>
        <w:spacing w:after="80"/>
      </w:pPr>
      <w:r>
        <w:rPr>
          <w:sz w:val="22"/>
        </w:rPr>
        <w:t>Axis: select Vertical Axis (Top–Bottom).</w:t>
      </w:r>
    </w:p>
    <w:p>
      <w:pPr>
        <w:pStyle w:val="ListNumber"/>
        <w:spacing w:after="80"/>
      </w:pPr>
      <w:r>
        <w:rPr>
          <w:sz w:val="22"/>
        </w:rPr>
        <w:t>Structures: select Only selected region(s) → tick 2 — Brain, spine and arms.</w:t>
      </w:r>
    </w:p>
    <w:p>
      <w:pPr>
        <w:pStyle w:val="ListNumber"/>
        <w:spacing w:after="80"/>
      </w:pPr>
      <w:r>
        <w:rPr>
          <w:sz w:val="22"/>
        </w:rPr>
        <w:t>Click ▶  Start Poset Construction.</w:t>
      </w:r>
    </w:p>
    <w:p>
      <w:pPr>
        <w:pStyle w:val="ListNumber"/>
        <w:spacing w:after="80"/>
      </w:pPr>
      <w:r>
        <w:rPr>
          <w:sz w:val="22"/>
        </w:rPr>
        <w:t>Name the save file e.g. StructureSet2_ClinicianName.json and click Save.</w:t>
      </w:r>
    </w:p>
    <w:p>
      <w:pPr>
        <w:pStyle w:val="ListNumber"/>
        <w:spacing w:after="80"/>
      </w:pPr>
      <w:r>
        <w:rPr>
          <w:sz w:val="22"/>
        </w:rPr>
        <w:t>Hand over to the clinician. Your part is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FF3FA"/>
          </w:tcPr>
          <w:p>
            <w:r>
              <w:rPr>
                <w:b/>
                <w:sz w:val="21"/>
              </w:rPr>
              <w:t xml:space="preserve">Note: </w:t>
            </w:r>
            <w:r>
              <w:rPr>
                <w:sz w:val="21"/>
              </w:rPr>
              <w:t>To resume a previous session: at step 5, navigate to the existing file and select it — nothing is overwritten, the session picks up where it left off.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Part 2 — Clinician</w:t>
      </w:r>
    </w:p>
    <w:p>
      <w:pPr>
        <w:pStyle w:val="Heading2"/>
      </w:pPr>
      <w:r>
        <w:t>Getting started</w:t>
      </w:r>
    </w:p>
    <w:p>
      <w:pPr>
        <w:pStyle w:val="ListNumber"/>
        <w:spacing w:after="80"/>
      </w:pPr>
      <w:r>
        <w:rPr>
          <w:sz w:val="22"/>
        </w:rPr>
        <w:t>Read the Instructions screen carefully, then click Proceed.</w:t>
      </w:r>
    </w:p>
    <w:p>
      <w:pPr>
        <w:pStyle w:val="ListNumber"/>
        <w:spacing w:after="80"/>
      </w:pPr>
      <w:r>
        <w:rPr>
          <w:sz w:val="22"/>
        </w:rPr>
        <w:t>Read the Definition screen — it explains exactly what "strictly above" means with examples. Click Proceed.</w:t>
      </w:r>
    </w:p>
    <w:p>
      <w:pPr>
        <w:pStyle w:val="ListNumber"/>
        <w:spacing w:after="80"/>
      </w:pPr>
      <w:r>
        <w:rPr>
          <w:sz w:val="22"/>
        </w:rPr>
        <w:t>The query dashboard opens. Take a few minutes to explore before starting: browse the anatomy image tabs on the left (Skeleton, Muscles, etc.), check the segmentation overview in the middle, and scroll through the full-body volume viewer on the right.</w:t>
      </w:r>
    </w:p>
    <w:p>
      <w:pPr>
        <w:pStyle w:val="Heading2"/>
      </w:pPr>
      <w:r>
        <w:t>Answering questions</w:t>
      </w:r>
    </w:p>
    <w:p>
      <w:pPr>
        <w:spacing w:after="80"/>
      </w:pPr>
      <w:r>
        <w:rPr>
          <w:sz w:val="22"/>
        </w:rPr>
        <w:t>Questions appear in the centre panel, one at a time. Each asks whether Structure A is strictly above Structure B (or to the left of / in front of, depending on the axis). CoM values are shown below the question as a numerical reference.</w:t>
      </w:r>
    </w:p>
    <w:p>
      <w:pPr>
        <w:pStyle w:val="ListBullet"/>
        <w:spacing w:after="60"/>
        <w:ind w:left="432"/>
      </w:pPr>
      <w:r>
        <w:rPr>
          <w:sz w:val="22"/>
        </w:rPr>
        <w:t>Yes (green) — the relation holds.</w:t>
      </w:r>
    </w:p>
    <w:p>
      <w:pPr>
        <w:pStyle w:val="ListBullet"/>
        <w:spacing w:after="60"/>
        <w:ind w:left="432"/>
      </w:pPr>
      <w:r>
        <w:rPr>
          <w:sz w:val="22"/>
        </w:rPr>
        <w:t>No (red) — it does not.</w:t>
      </w:r>
    </w:p>
    <w:p>
      <w:pPr>
        <w:pStyle w:val="ListBullet"/>
        <w:spacing w:after="60"/>
        <w:ind w:left="432"/>
      </w:pPr>
      <w:r>
        <w:rPr>
          <w:sz w:val="22"/>
        </w:rPr>
        <w:t>Not sure (grey) — you are genuinely uncertain. This is always a valid answer.</w:t>
      </w:r>
    </w:p>
    <w:p>
      <w:pPr>
        <w:spacing w:after="80"/>
      </w:pPr>
      <w:r>
        <w:rPr>
          <w:sz w:val="22"/>
        </w:rPr>
        <w:t>Answers and feedback are saved to disk automatically after each button press.</w:t>
      </w:r>
    </w:p>
    <w:p>
      <w:pPr>
        <w:pStyle w:val="Heading2"/>
      </w:pPr>
      <w:r>
        <w:t>Feedback box</w:t>
      </w:r>
    </w:p>
    <w:p>
      <w:pPr>
        <w:spacing w:after="80"/>
      </w:pPr>
      <w:r>
        <w:rPr>
          <w:sz w:val="22"/>
        </w:rPr>
        <w:t>Below the question there is a text box for optional comments (ambiguity, missing context, anything unusual). Type your comment before pressing an answer button — it is saved automatically alongside the answer. For bugs, contact Güney directly.</w:t>
      </w:r>
    </w:p>
    <w:p>
      <w:pPr>
        <w:pStyle w:val="Heading2"/>
      </w:pPr>
      <w:r>
        <w:t>Undo</w:t>
      </w:r>
    </w:p>
    <w:p>
      <w:pPr>
        <w:spacing w:after="80"/>
      </w:pPr>
      <w:r>
        <w:rPr>
          <w:sz w:val="22"/>
        </w:rPr>
        <w:t>The ← Undo button (grey, left side) reverts the previous answer and lets you correct it. It works for multiple steps back. Any feedback you had typed before undoing is also saved.</w:t>
      </w:r>
    </w:p>
    <w:p>
      <w:pPr>
        <w:pStyle w:val="Heading2"/>
      </w:pPr>
      <w:r>
        <w:t>Volume viewer (right column)</w:t>
      </w:r>
    </w:p>
    <w:p>
      <w:pPr>
        <w:pStyle w:val="ListBullet"/>
        <w:spacing w:after="60"/>
        <w:ind w:left="432"/>
      </w:pPr>
      <w:r>
        <w:rPr>
          <w:sz w:val="22"/>
        </w:rPr>
        <w:t>Switch between Axial, Coronal, and Sagittal planes with the buttons at the top.</w:t>
      </w:r>
    </w:p>
    <w:p>
      <w:pPr>
        <w:pStyle w:val="ListBullet"/>
        <w:spacing w:after="60"/>
        <w:ind w:left="432"/>
      </w:pPr>
      <w:r>
        <w:rPr>
          <w:sz w:val="22"/>
        </w:rPr>
        <w:t>Use the slider or ▲/▼ (axial) / ◀/▶ (coronal, sagittal) to navigate slices.</w:t>
      </w:r>
    </w:p>
    <w:p>
      <w:pPr>
        <w:pStyle w:val="ListBullet"/>
        <w:spacing w:after="60"/>
        <w:ind w:left="432"/>
      </w:pPr>
      <w:r>
        <w:rPr>
          <w:sz w:val="22"/>
        </w:rPr>
        <w:t>Mouse wheel: zoom in/out. Right-click + drag: pan. Left-click: full-screen preview.</w:t>
      </w:r>
    </w:p>
    <w:p>
      <w:pPr>
        <w:pStyle w:val="ListBullet"/>
        <w:spacing w:after="60"/>
        <w:ind w:left="432"/>
      </w:pPr>
      <w:r>
        <w:rPr>
          <w:sz w:val="22"/>
        </w:rPr>
        <w:t>All anatomy images on the left are also clickable for a full-screen view.</w:t>
      </w:r>
    </w:p>
    <w:p>
      <w:pPr>
        <w:pStyle w:val="Heading2"/>
      </w:pPr>
      <w:r>
        <w:t>When you're done</w:t>
      </w:r>
    </w:p>
    <w:p>
      <w:pPr>
        <w:spacing w:after="80"/>
      </w:pPr>
      <w:r>
        <w:rPr>
          <w:sz w:val="22"/>
        </w:rPr>
        <w:t>Once all pairs are answered a completion message appears. Click Done. Structure Set 2 is the smallest — if you'd like to continue, the supervisor can set up Set 1 (Trunk and viscera) or Set 3 (Sacrum, pelvis, hips and legs).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FF3FA"/>
          </w:tcPr>
          <w:p>
            <w:r>
              <w:rPr>
                <w:b/>
                <w:sz w:val="21"/>
              </w:rPr>
              <w:t xml:space="preserve">Note: </w:t>
            </w:r>
            <w:r>
              <w:rPr>
                <w:sz w:val="21"/>
              </w:rPr>
              <w:t>No answer is catastrophic — the annotations are averaged across multiple experts. If something is wrong, use Undo. If something is unclear, use the feedback box.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