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РАСЧЁТНАЯ ОЦЕНКА СПЛАВА ЭК199-ВИ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color w:val="2E5496"/>
          <w:sz w:val="28"/>
          <w:szCs w:val="28"/>
        </w:rPr>
        <w:t xml:space="preserve">для промежуточного теплообменника ИЖСР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 выполнении расчётной части работ по ТЗ ИЖСР-1476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Фазовый состав · выделение Р-фазы · паяное и вальцованное соединения · разброс в пределах марки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595959"/>
          <w:sz w:val="20"/>
          <w:szCs w:val="20"/>
        </w:rPr>
        <w:t xml:space="preserve">14 сентября 2026</w:t>
      </w:r>
    </w:p>
    <w:p>
      <w:r>
        <w:br w:type="page"/>
      </w:r>
    </w:p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Предмет работы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Промежуточный теплообменник жидкосолевого реактора. Теплоноситель — фторидные соли, рабочая температура 700 °C, максимальная 750 °C, ресурс 10 лет (87 600 ч). Крепление труб к трубной решётке по ТЗ выполняется вальцовкой, сваркой с вальцовкой либо сваркой с пайкой. Расчётные точки: 580, 595, 664, 700 и 750 °C.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Материал — ЭК199-ВИ (ХН62М(Sc)-ВИ). Контрольный состав, масс. %: C 0,005; Si 0,10; Mn 0,50; S 0,020; Cr 23,5; Mo 13,0; Nb 0,06; Al 0,25; Ti 0,10; Fe 0,50; никель — основа.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Выполнено термодинамическое и кинетическое моделирование: равновесный фазовый состав в расчётных точках; кинетика выделения Р-фазы на горизонтах 200 ч и 87 600 ч; взаимодействие основы с депрессантами припоя; разброс характеристик в пределах марочного допуска; изменение объёма при выделении Р-фазы. Результаты сопоставлены с опубликованными данными по длительному старению этого же сплава.</w:t>
      </w:r>
    </w:p>
    <w:p>
      <w:pPr>
        <w:spacing w:after="1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FF2CC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Ограничение, определяющее чтение всего отчёта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Использованная термодинамическая база не содержит скандия. Все результаты относятся к основе сплава ЭК199-ВИ без скандия. Влияние скандия — на границы зёрен, на оксидную составляющую, на размер зерна — настоящей работой не оценивается.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Основные результаты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5612"/>
      </w:tblGrid>
      <w:tr>
        <w:trPr>
          <w:tblHeader/>
        </w:trPr>
        <w:tc>
          <w:tcPr>
            <w:tcW w:type="dxa" w:w="374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Вопрос по ТЗ</w:t>
            </w:r>
          </w:p>
        </w:tc>
        <w:tc>
          <w:tcPr>
            <w:tcW w:type="dxa" w:w="561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Ответ расчёта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Равновесный фазовый состав в расчётных точках</w:t>
            </w:r>
          </w:p>
        </w:tc>
        <w:tc>
          <w:tcPr>
            <w:tcW w:type="dxa" w:w="56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Двухфазный: γ-матрица и Р-фаза. Доля Р-фазы 19,1…28,2 мольн. % (наибольшая при 580 °C)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Какие ТПУ-фазы образуются</w:t>
            </w:r>
          </w:p>
        </w:tc>
        <w:tc>
          <w:tcPr>
            <w:tcW w:type="dxa" w:w="56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Только Р-фаза. σ-, μ-, χ-, R-фазы, фазы Лавеса и δ-фаза NiMo не образуются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Наиболее нагруженная температурная точка</w:t>
            </w:r>
          </w:p>
        </w:tc>
        <w:tc>
          <w:tcPr>
            <w:tcW w:type="dxa" w:w="56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580 °C, а не 750 °C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Молибден в матрице</w:t>
            </w:r>
          </w:p>
        </w:tc>
        <w:tc>
          <w:tcPr>
            <w:tcW w:type="dxa" w:w="56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Снижается с 13,0 до 4,75 масс. % при 580 °C и до 6,97 масс. % при 700 °C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Упорядочение Ni₂Cr</w:t>
            </w:r>
          </w:p>
        </w:tc>
        <w:tc>
          <w:tcPr>
            <w:tcW w:type="dxa" w:w="56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 расчётных точках отсутствует; граница поля между 525 и 550 °C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Выделится ли Р-фаза за ресурс</w:t>
            </w:r>
          </w:p>
        </w:tc>
        <w:tc>
          <w:tcPr>
            <w:tcW w:type="dxa" w:w="56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Расчётом однозначно не определяется: ответ задаётся межфазной энергией, которая не измерена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Достаточно ли 200 ч испытаний</w:t>
            </w:r>
          </w:p>
        </w:tc>
        <w:tc>
          <w:tcPr>
            <w:tcW w:type="dxa" w:w="56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 700 и 750 °C — да. При 580 °C — нет, возможен ложно-отрицательный результат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Пайка: влияние бора</w:t>
            </w:r>
          </w:p>
        </w:tc>
        <w:tc>
          <w:tcPr>
            <w:tcW w:type="dxa" w:w="56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0,5 масс. % бора связывает 56 % молибдена сплава в бориды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Пайка: контроль зоны шва</w:t>
            </w:r>
          </w:p>
        </w:tc>
        <w:tc>
          <w:tcPr>
            <w:tcW w:type="dxa" w:w="56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Контроль по доле Р-фазы неприменим — нужен критерий по боридам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Температура пайки</w:t>
            </w:r>
          </w:p>
        </w:tc>
        <w:tc>
          <w:tcPr>
            <w:tcW w:type="dxa" w:w="56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Ограничена солидусом обогащённой депрессантом основы: при 1200 °C возможно подплавление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Разброс в пределах марки</w:t>
            </w:r>
          </w:p>
        </w:tc>
        <w:tc>
          <w:tcPr>
            <w:tcW w:type="dxa" w:w="56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 доле Р-фазы в 1,57 раза при 700 °C и в 1,76 раза при 750 °C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Изменение объёма при выделении</w:t>
            </w:r>
          </w:p>
        </w:tc>
        <w:tc>
          <w:tcPr>
            <w:tcW w:type="dxa" w:w="56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Направление изменения расчётом не определяется</w:t>
            </w:r>
          </w:p>
        </w:tc>
      </w:tr>
    </w:tbl>
    <w:p>
      <w:pPr>
        <w:spacing w:after="1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BE4D5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Состояние количественных оценок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Опубликованные результаты длительного старения сплава ХН62М-ВИ подтверждают качественную картину: ТПУ-фаза при рабочих температурах выделяется по границам зёрен за времена порядка тысяч часов. Вместе с тем измеренный состав фазы и состояние матрицы указывают, что расчёт завышает долю Р-фазы и глубину обеднения матрицы (раздел 9).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уточнения этого вопроса значения долей фаз и профилей обеднения, приведённые в разделах 3 и 4, следует рассматривать как оценку сверху, а не как расчётное обоснование ресурса.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Фазовый состав в рабочем интервале температур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Расчёт выполнен на сетке 500…900 °C с шагом 25 K с добавлением расчётных точек ТЗ. Точки ТЗ лежат на непрерывных кривых без особенностей.</w:t>
      </w:r>
    </w:p>
    <w:p>
      <w:pPr>
        <w:spacing w:after="80"/>
      </w:pPr>
    </w:p>
    <w:p>
      <w:pPr>
        <w:spacing w:after="9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Мольные доли фаз, %: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1310"/>
        <w:gridCol w:w="1310"/>
        <w:gridCol w:w="1310"/>
        <w:gridCol w:w="1310"/>
        <w:gridCol w:w="1308"/>
      </w:tblGrid>
      <w:tr>
        <w:trPr>
          <w:tblHeader/>
        </w:trPr>
        <w:tc>
          <w:tcPr>
            <w:tcW w:type="dxa" w:w="2806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Фаза</w:t>
            </w:r>
          </w:p>
        </w:tc>
        <w:tc>
          <w:tcPr>
            <w:tcW w:type="dxa" w:w="131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580 °C</w:t>
            </w:r>
          </w:p>
        </w:tc>
        <w:tc>
          <w:tcPr>
            <w:tcW w:type="dxa" w:w="131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595 °C</w:t>
            </w:r>
          </w:p>
        </w:tc>
        <w:tc>
          <w:tcPr>
            <w:tcW w:type="dxa" w:w="131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664 °C</w:t>
            </w:r>
          </w:p>
        </w:tc>
        <w:tc>
          <w:tcPr>
            <w:tcW w:type="dxa" w:w="131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700 °C</w:t>
            </w:r>
          </w:p>
        </w:tc>
        <w:tc>
          <w:tcPr>
            <w:tcW w:type="dxa" w:w="1308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°C</w:t>
            </w:r>
          </w:p>
        </w:tc>
      </w:tr>
      <w:tr>
        <w:trPr>
          <w:cantSplit/>
        </w:trPr>
        <w:tc>
          <w:tcPr>
            <w:tcW w:type="dxa" w:w="280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γ-матрица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70,15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70,94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75,04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77,50</w:t>
            </w:r>
          </w:p>
        </w:tc>
        <w:tc>
          <w:tcPr>
            <w:tcW w:type="dxa" w:w="130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80,72</w:t>
            </w:r>
          </w:p>
        </w:tc>
      </w:tr>
      <w:tr>
        <w:trPr>
          <w:cantSplit/>
        </w:trPr>
        <w:tc>
          <w:tcPr>
            <w:tcW w:type="dxa" w:w="2806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Р-фаза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28,22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27,58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24,28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22,31</w:t>
            </w:r>
          </w:p>
        </w:tc>
        <w:tc>
          <w:tcPr>
            <w:tcW w:type="dxa" w:w="1308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19,10</w:t>
            </w:r>
          </w:p>
        </w:tc>
      </w:tr>
      <w:tr>
        <w:trPr>
          <w:cantSplit/>
        </w:trPr>
        <w:tc>
          <w:tcPr>
            <w:tcW w:type="dxa" w:w="280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γ′-фаза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1,43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1,29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0,50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6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Карбид М₂₃С₆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0,12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0,12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0,12</w:t>
            </w:r>
          </w:p>
        </w:tc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0,12</w:t>
            </w:r>
          </w:p>
        </w:tc>
        <w:tc>
          <w:tcPr>
            <w:tcW w:type="dxa" w:w="1308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0,11</w:t>
            </w:r>
          </w:p>
        </w:tc>
      </w:tr>
      <w:tr>
        <w:trPr>
          <w:cantSplit/>
        </w:trPr>
        <w:tc>
          <w:tcPr>
            <w:tcW w:type="dxa" w:w="280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Сульфид марганца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</w:t>
            </w:r>
          </w:p>
        </w:tc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</w:t>
            </w:r>
          </w:p>
        </w:tc>
        <w:tc>
          <w:tcPr>
            <w:tcW w:type="dxa" w:w="130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580 °C равновесная доля Р-фазы составляет 30,4 масс. % — почти треть массы сплава. Из ТПУ-фаз, перечисленных в ТЗ, расчёт находит только Р-фазу; σ-, μ-, χ- и R-фазы, фазы Лавеса и δ-фаза NiMo не образуются ни при одной из 20 рассчитанных температур.</w:t>
      </w:r>
    </w:p>
    <w:p>
      <w:pPr>
        <w:spacing w:after="0" w:before="14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Рисунок 1 — Равновесный фазовый состав и состав γ-матрицы по температуре. Вертикальный пунктир — расчётные точки ТЗ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Обеднение матрицы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432"/>
        <w:gridCol w:w="1684"/>
        <w:gridCol w:w="2432"/>
        <w:gridCol w:w="1496"/>
      </w:tblGrid>
      <w:tr>
        <w:trPr>
          <w:tblHeader/>
        </w:trPr>
        <w:tc>
          <w:tcPr>
            <w:tcW w:type="dxa" w:w="131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T, °C</w:t>
            </w:r>
          </w:p>
        </w:tc>
        <w:tc>
          <w:tcPr>
            <w:tcW w:type="dxa" w:w="243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 в матрице, масс. %</w:t>
            </w:r>
          </w:p>
        </w:tc>
        <w:tc>
          <w:tcPr>
            <w:tcW w:type="dxa" w:w="1684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 исходного</w:t>
            </w:r>
          </w:p>
        </w:tc>
        <w:tc>
          <w:tcPr>
            <w:tcW w:type="dxa" w:w="243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 в матрице, масс. %</w:t>
            </w:r>
          </w:p>
        </w:tc>
        <w:tc>
          <w:tcPr>
            <w:tcW w:type="dxa" w:w="1496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 исходного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580</w:t>
            </w:r>
          </w:p>
        </w:tc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21,07</w:t>
            </w:r>
          </w:p>
        </w:tc>
        <w:tc>
          <w:tcPr>
            <w:tcW w:type="dxa" w:w="168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89,6 %</w:t>
            </w:r>
          </w:p>
        </w:tc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4,75</w:t>
            </w:r>
          </w:p>
        </w:tc>
        <w:tc>
          <w:tcPr>
            <w:tcW w:type="dxa" w:w="149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36,5 %</w:t>
            </w:r>
          </w:p>
        </w:tc>
      </w:tr>
      <w:tr>
        <w:trPr>
          <w:cantSplit/>
        </w:trPr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595</w:t>
            </w:r>
          </w:p>
        </w:tc>
        <w:tc>
          <w:tcPr>
            <w:tcW w:type="dxa" w:w="243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21,12</w:t>
            </w:r>
          </w:p>
        </w:tc>
        <w:tc>
          <w:tcPr>
            <w:tcW w:type="dxa" w:w="1684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89,9 %</w:t>
            </w:r>
          </w:p>
        </w:tc>
        <w:tc>
          <w:tcPr>
            <w:tcW w:type="dxa" w:w="243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5,01</w:t>
            </w:r>
          </w:p>
        </w:tc>
        <w:tc>
          <w:tcPr>
            <w:tcW w:type="dxa" w:w="1496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38,6 %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664</w:t>
            </w:r>
          </w:p>
        </w:tc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21,34</w:t>
            </w:r>
          </w:p>
        </w:tc>
        <w:tc>
          <w:tcPr>
            <w:tcW w:type="dxa" w:w="168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90,8 %</w:t>
            </w:r>
          </w:p>
        </w:tc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6,29</w:t>
            </w:r>
          </w:p>
        </w:tc>
        <w:tc>
          <w:tcPr>
            <w:tcW w:type="dxa" w:w="149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48,3 %</w:t>
            </w:r>
          </w:p>
        </w:tc>
      </w:tr>
      <w:tr>
        <w:trPr>
          <w:cantSplit/>
        </w:trPr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243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21,45</w:t>
            </w:r>
          </w:p>
        </w:tc>
        <w:tc>
          <w:tcPr>
            <w:tcW w:type="dxa" w:w="1684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91,3 %</w:t>
            </w:r>
          </w:p>
        </w:tc>
        <w:tc>
          <w:tcPr>
            <w:tcW w:type="dxa" w:w="243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6,97</w:t>
            </w:r>
          </w:p>
        </w:tc>
        <w:tc>
          <w:tcPr>
            <w:tcW w:type="dxa" w:w="1496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53,6 %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21,80</w:t>
            </w:r>
          </w:p>
        </w:tc>
        <w:tc>
          <w:tcPr>
            <w:tcW w:type="dxa" w:w="168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92,8 %</w:t>
            </w:r>
          </w:p>
        </w:tc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8,07</w:t>
            </w:r>
          </w:p>
        </w:tc>
        <w:tc>
          <w:tcPr>
            <w:tcW w:type="dxa" w:w="149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62,1 %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Матрица обедняется прежде всего по молибдену. Р-фаза содержит около 32 масс. % молибдена и 30 масс. % хрома, поэтому при равновесной доле порядка 30 масс. % она забирает молибден почти пропорционально своей массе, тогда как хрома в сплаве больше и его относительная убыль меньше.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FF2CC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Наиболее нагруженная точка ТЗ — 580 °C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Обеднение монотонно растёт при понижении температуры: между 900 и 580 °C молибден в матрице падает с 11,55 до 4,75 масс. %. Таким образом, по фазовой стабильности наиболее нагружен холодный конец теплообменника, а не горячий.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Упорядоченная фаза Ni₂Cr в расчётных точках не образуется, однако граница её поля лежит между 525 и 550 °C — на 30…55 K ниже нижней расчётной точки. Пуски, остановы и работа холодной нитки выводят металл в это поле.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Выделение Р-фазы во времени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Равновесный расчёт определяет предельное состояние и не определяет времени его достижения. Кинетика выделения рассчитана моделью зарождения, роста и коагуляции для двухфазной задачи «матрица — Р-фаза» непрерывно от нуля до 87 600 ч.</w:t>
      </w:r>
    </w:p>
    <w:p>
      <w:pPr>
        <w:spacing w:after="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FF2CC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Неопределённый исходный параметр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Межфазная энергия границы «матрица — Р-фаза» отсутствует в термодинамической базе и не может быть из неё получена. Значение не подбиралось: расчёт выполнен для диапазона 0,05…0,50 Дж/м² девятью значениями. Абсолютная шкала времени достоверна настолько, насколько достоверно это значение; вид зависимости и положение границы определены надёжно.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Зависимость имеет пороговый характер: при значениях межфазной энергии ниже граничного Р-фаза выделяется практически полностью, выше — не выделяется вовсе. Граница смещается вверх при понижении температуры вслед за ростом движущей силы.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2"/>
        <w:gridCol w:w="2245"/>
        <w:gridCol w:w="2993"/>
        <w:gridCol w:w="2994"/>
      </w:tblGrid>
      <w:tr>
        <w:trPr>
          <w:tblHeader/>
        </w:trPr>
        <w:tc>
          <w:tcPr>
            <w:tcW w:type="dxa" w:w="112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T, °C</w:t>
            </w:r>
          </w:p>
        </w:tc>
        <w:tc>
          <w:tcPr>
            <w:tcW w:type="dxa" w:w="224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Движущая сила, Дж/моль</w:t>
            </w:r>
          </w:p>
        </w:tc>
        <w:tc>
          <w:tcPr>
            <w:tcW w:type="dxa" w:w="2993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Граница, зарождение в объёме зерна</w:t>
            </w:r>
          </w:p>
        </w:tc>
        <w:tc>
          <w:tcPr>
            <w:tcW w:type="dxa" w:w="2994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Граница, зарождение на границах зёрен</w:t>
            </w:r>
          </w:p>
        </w:tc>
      </w:tr>
      <w:tr>
        <w:trPr>
          <w:cantSplit/>
        </w:trPr>
        <w:tc>
          <w:tcPr>
            <w:tcW w:type="dxa" w:w="112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580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2 338</w:t>
            </w:r>
          </w:p>
        </w:tc>
        <w:tc>
          <w:tcPr>
            <w:tcW w:type="dxa" w:w="2993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0,150…0,175 Дж/м²</w:t>
            </w:r>
          </w:p>
        </w:tc>
        <w:tc>
          <w:tcPr>
            <w:tcW w:type="dxa" w:w="299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0,200…0,250 Дж/м²</w:t>
            </w:r>
          </w:p>
        </w:tc>
      </w:tr>
      <w:tr>
        <w:trPr>
          <w:cantSplit/>
        </w:trPr>
        <w:tc>
          <w:tcPr>
            <w:tcW w:type="dxa" w:w="112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664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1 812</w:t>
            </w:r>
          </w:p>
        </w:tc>
        <w:tc>
          <w:tcPr>
            <w:tcW w:type="dxa" w:w="2993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0,125…0,150 Дж/м²</w:t>
            </w:r>
          </w:p>
        </w:tc>
        <w:tc>
          <w:tcPr>
            <w:tcW w:type="dxa" w:w="2994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выше 0,200 Дж/м²</w:t>
            </w:r>
          </w:p>
        </w:tc>
      </w:tr>
      <w:tr>
        <w:trPr>
          <w:cantSplit/>
        </w:trPr>
        <w:tc>
          <w:tcPr>
            <w:tcW w:type="dxa" w:w="112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1 586</w:t>
            </w:r>
          </w:p>
        </w:tc>
        <w:tc>
          <w:tcPr>
            <w:tcW w:type="dxa" w:w="2993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0,125…0,150 Дж/м²</w:t>
            </w:r>
          </w:p>
        </w:tc>
        <w:tc>
          <w:tcPr>
            <w:tcW w:type="dxa" w:w="299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0,175…0,200 Дж/м²</w:t>
            </w:r>
          </w:p>
        </w:tc>
      </w:tr>
      <w:tr>
        <w:trPr>
          <w:cantSplit/>
        </w:trPr>
        <w:tc>
          <w:tcPr>
            <w:tcW w:type="dxa" w:w="112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1 273</w:t>
            </w:r>
          </w:p>
        </w:tc>
        <w:tc>
          <w:tcPr>
            <w:tcW w:type="dxa" w:w="2993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0,100…0,150 Дж/м²</w:t>
            </w:r>
          </w:p>
        </w:tc>
        <w:tc>
          <w:tcPr>
            <w:tcW w:type="dxa" w:w="2994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0,150…0,250 Дж/м²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Смещение границы проверено расчётом: барьер зарождения изменяется как куб межфазной энергии и обратно пропорционален квадрату движущей силы, поэтому граничное значение должно изменяться как движущая сила в степени 2/3. Предсказанное отношение при переходе от 700 к 580 °C равно 1,30, наблюдаемое — 1,18…1,20, что совпадает в пределах разрешения расчётной сетки. Таким образом, пересчёт границы с одной температуры на другую выполняется по движущей силе и отдельного эксперимента не требует.</w:t>
      </w:r>
    </w:p>
    <w:p>
      <w:pPr>
        <w:spacing w:after="0" w:before="14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Рисунок 2 — Доля Р-фазы от времени при 700 и 750 °C. Столбец — температура, строка — места зарождения. Вертикальный пунктир — горизонты 200 ч и 10 лет</w:t>
      </w:r>
    </w:p>
    <w:p>
      <w:pPr>
        <w:spacing w:after="0" w:before="140"/>
        <w:jc w:val="center"/>
      </w:pPr>
      <w:r>
        <w:drawing>
          <wp:inline distT="0" distB="0" distL="0" distR="0">
            <wp:extent cx="40957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Рисунок 3 — То же при 580 °C. Кривые для 0,15…0,20 Дж/м² пересекают уровень 200 ч только между 10³ и 10⁴ ч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Состояние матрицы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1871"/>
        <w:gridCol w:w="1871"/>
        <w:gridCol w:w="1870"/>
      </w:tblGrid>
      <w:tr>
        <w:trPr>
          <w:tblHeader/>
        </w:trPr>
        <w:tc>
          <w:tcPr>
            <w:tcW w:type="dxa" w:w="374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187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580 °C</w:t>
            </w:r>
          </w:p>
        </w:tc>
        <w:tc>
          <w:tcPr>
            <w:tcW w:type="dxa" w:w="187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700 °C</w:t>
            </w:r>
          </w:p>
        </w:tc>
        <w:tc>
          <w:tcPr>
            <w:tcW w:type="dxa" w:w="187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°C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 в сплаве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13,00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13,00</w:t>
            </w:r>
          </w:p>
        </w:tc>
        <w:tc>
          <w:tcPr>
            <w:tcW w:type="dxa" w:w="187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13,00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 в матрице через 200 ч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4,78…5,08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7,15…7,30</w:t>
            </w:r>
          </w:p>
        </w:tc>
        <w:tc>
          <w:tcPr>
            <w:tcW w:type="dxa" w:w="187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8,23…8,29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 в матрице через 87 600 ч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4,70…4,77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7,09…7,11</w:t>
            </w:r>
          </w:p>
        </w:tc>
        <w:tc>
          <w:tcPr>
            <w:tcW w:type="dxa" w:w="187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8,18…8,19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 в матрице, равновесие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4,75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6,97</w:t>
            </w:r>
          </w:p>
        </w:tc>
        <w:tc>
          <w:tcPr>
            <w:tcW w:type="dxa" w:w="187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8,07</w:t>
            </w:r>
          </w:p>
        </w:tc>
      </w:tr>
    </w:tbl>
    <w:p>
      <w:pPr>
        <w:spacing w:after="12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Приведены значения для случаев, когда выделение происходит. При значениях межфазной энергии выше граничного матрица не изменяется вовсе: 23,50 % Cr и 13,00 % Mo и через 200 ч, и через десять лет. Эта двоичность делает содержание молибдена в матрице основным контролируемым признаком: изменение почти вдвое доступно рядовому микрорентгеноспектральному анализу, тогда как сами выделения имеют размер 21…93 нм при 700 °C и 4…23 нм при 580 °C и требуют просвечивающей электронной микроскопии.</w:t>
      </w:r>
    </w:p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Достаточность 200-часовых испытаний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ТЗ предусматривает металлографическое исследование после выдержки 200 ч. Расчёт позволяет оценить, переносим ли результат такого испытания на ресурс 87 600 ч.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700 и 750 °C переносим: во всех рассчитанных случаях, где выделение происходит, за 200 ч набирается 97,4…99,4 % от доли, достигаемой за десять лет. Отрицательный результат испытания при этих температурах означает, что выделения не будет и за ресурс.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 580 °C результат не переносим.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2058"/>
        <w:gridCol w:w="1777"/>
        <w:gridCol w:w="1777"/>
      </w:tblGrid>
      <w:tr>
        <w:trPr>
          <w:tblHeader/>
        </w:trPr>
        <w:tc>
          <w:tcPr>
            <w:tcW w:type="dxa" w:w="187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Межфазная энергия, Дж/м²</w:t>
            </w:r>
          </w:p>
        </w:tc>
        <w:tc>
          <w:tcPr>
            <w:tcW w:type="dxa" w:w="187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Места зарождения</w:t>
            </w:r>
          </w:p>
        </w:tc>
        <w:tc>
          <w:tcPr>
            <w:tcW w:type="dxa" w:w="2058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Доля Р-фазы через 200 ч</w:t>
            </w:r>
          </w:p>
        </w:tc>
        <w:tc>
          <w:tcPr>
            <w:tcW w:type="dxa" w:w="1777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Через 87 600 ч</w:t>
            </w:r>
          </w:p>
        </w:tc>
        <w:tc>
          <w:tcPr>
            <w:tcW w:type="dxa" w:w="1777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Начало выделения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0,150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объём зерна</w:t>
            </w:r>
          </w:p>
        </w:tc>
        <w:tc>
          <w:tcPr>
            <w:tcW w:type="dxa" w:w="205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практически нуль</w:t>
            </w:r>
          </w:p>
        </w:tc>
        <w:tc>
          <w:tcPr>
            <w:tcW w:type="dxa" w:w="1777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26,59 мольн. %</w:t>
            </w:r>
          </w:p>
        </w:tc>
        <w:tc>
          <w:tcPr>
            <w:tcW w:type="dxa" w:w="1777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5 000…8 900 ч</w:t>
            </w:r>
          </w:p>
        </w:tc>
      </w:tr>
      <w:tr>
        <w:trPr>
          <w:cantSplit/>
        </w:trPr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0,175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границы зёрен</w:t>
            </w:r>
          </w:p>
        </w:tc>
        <w:tc>
          <w:tcPr>
            <w:tcW w:type="dxa" w:w="2058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практически нуль</w:t>
            </w:r>
          </w:p>
        </w:tc>
        <w:tc>
          <w:tcPr>
            <w:tcW w:type="dxa" w:w="1777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26,58 мольн. %</w:t>
            </w:r>
          </w:p>
        </w:tc>
        <w:tc>
          <w:tcPr>
            <w:tcW w:type="dxa" w:w="1777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1 600 ч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0,200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границы зёрен</w:t>
            </w:r>
          </w:p>
        </w:tc>
        <w:tc>
          <w:tcPr>
            <w:tcW w:type="dxa" w:w="205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практически нуль</w:t>
            </w:r>
          </w:p>
        </w:tc>
        <w:tc>
          <w:tcPr>
            <w:tcW w:type="dxa" w:w="1777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26,55 мольн. %</w:t>
            </w:r>
          </w:p>
        </w:tc>
        <w:tc>
          <w:tcPr>
            <w:tcW w:type="dxa" w:w="1777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8 900…15 800 ч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этих случаях за 200 ч в металле не происходит ничего: молибден в матрице остаётся на исходных 13,00 масс. %. За ресурс же выделяется практически вся равновесная Р-фаза, а молибден снижается до 4,75 масс. %. Испытание длительностью 200 ч при 580 °C такой материал признает годным.</w:t>
      </w:r>
    </w:p>
    <w:p>
      <w:pPr>
        <w:spacing w:after="60"/>
      </w:pPr>
    </w:p>
    <w:p>
      <w:pPr>
        <w:spacing w:after="9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Время достижения 90 % равновесной доли при 580 °C (зарождение на границах зёрен):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9"/>
        <w:gridCol w:w="935"/>
        <w:gridCol w:w="935"/>
        <w:gridCol w:w="935"/>
        <w:gridCol w:w="1029"/>
        <w:gridCol w:w="1029"/>
        <w:gridCol w:w="935"/>
        <w:gridCol w:w="937"/>
      </w:tblGrid>
      <w:tr>
        <w:trPr>
          <w:tblHeader/>
        </w:trPr>
        <w:tc>
          <w:tcPr>
            <w:tcW w:type="dxa" w:w="2619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Межфазная энергия, Дж/м²</w:t>
            </w:r>
          </w:p>
        </w:tc>
        <w:tc>
          <w:tcPr>
            <w:tcW w:type="dxa" w:w="93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0,050</w:t>
            </w:r>
          </w:p>
        </w:tc>
        <w:tc>
          <w:tcPr>
            <w:tcW w:type="dxa" w:w="93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0,075</w:t>
            </w:r>
          </w:p>
        </w:tc>
        <w:tc>
          <w:tcPr>
            <w:tcW w:type="dxa" w:w="93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0,100</w:t>
            </w:r>
          </w:p>
        </w:tc>
        <w:tc>
          <w:tcPr>
            <w:tcW w:type="dxa" w:w="1029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0,125</w:t>
            </w:r>
          </w:p>
        </w:tc>
        <w:tc>
          <w:tcPr>
            <w:tcW w:type="dxa" w:w="1029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0,150</w:t>
            </w:r>
          </w:p>
        </w:tc>
        <w:tc>
          <w:tcPr>
            <w:tcW w:type="dxa" w:w="93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0,175</w:t>
            </w:r>
          </w:p>
        </w:tc>
        <w:tc>
          <w:tcPr>
            <w:tcW w:type="dxa" w:w="937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0,200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Время, ч</w:t>
            </w:r>
          </w:p>
        </w:tc>
        <w:tc>
          <w:tcPr>
            <w:tcW w:type="dxa" w:w="93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</w:t>
            </w:r>
          </w:p>
        </w:tc>
        <w:tc>
          <w:tcPr>
            <w:tcW w:type="dxa" w:w="93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163</w:t>
            </w:r>
          </w:p>
        </w:tc>
        <w:tc>
          <w:tcPr>
            <w:tcW w:type="dxa" w:w="93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102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512</w:t>
            </w:r>
          </w:p>
        </w:tc>
        <w:tc>
          <w:tcPr>
            <w:tcW w:type="dxa" w:w="102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5 024</w:t>
            </w:r>
          </w:p>
        </w:tc>
        <w:tc>
          <w:tcPr>
            <w:tcW w:type="dxa" w:w="93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8 901</w:t>
            </w:r>
          </w:p>
        </w:tc>
        <w:tc>
          <w:tcPr>
            <w:tcW w:type="dxa" w:w="937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15 769</w:t>
            </w:r>
          </w:p>
        </w:tc>
      </w:tr>
    </w:tbl>
    <w:p>
      <w:pPr>
        <w:spacing w:after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BE4D5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Испытания: несимметричная логика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Полное перекрытие 580 °C выдержкой означает удержание образца около двух лет, то есть само по себе равно ресурсным испытаниям. Практически применимо ускоренное испытание при 664 или 700 °C с пересчётом границы на 580 °C.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Положительный результат при 700 °C однозначно подтверждает опасность: межфазная энергия ниже границы для 700 °C, а при 580 °C граница выше, следовательно выделение произойдёт тем более.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Отрицательный результат при 700 °C опасность не снимает: остаётся диапазон межфазных энергий, при которых при 700 °C выделения нет, а при 580 °C оно происходит за 10³…10⁴ ч. Поэтому отрицательный результат требует дополнительного испытания при 580 °C длительностью не менее 2 000 ч.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Паяное соединение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варианта «сварка с пайкой» рассчитано действие бора и кремния — депрессантов температуры плавления никелевых припоев — на основу. Расчёт выполнен по параметрической сетке (бор 0…3 масс. %, кремний 0,1…5 масс. %) при температурах службы 700 и 750 °C и температурах пайки и термообработки 1050, 1150 и 1200 °C. Состав конкретной марки припоя не задавался: сетка перекрывает все никелевые припои.</w:t>
      </w:r>
    </w:p>
    <w:p>
      <w:pPr>
        <w:spacing w:after="80"/>
      </w:pP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Бор связывает молибден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2"/>
        <w:gridCol w:w="2619"/>
        <w:gridCol w:w="2151"/>
        <w:gridCol w:w="2152"/>
      </w:tblGrid>
      <w:tr>
        <w:trPr>
          <w:tblHeader/>
        </w:trPr>
        <w:tc>
          <w:tcPr>
            <w:tcW w:type="dxa" w:w="243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Бор в основе, масс. %</w:t>
            </w:r>
          </w:p>
        </w:tc>
        <w:tc>
          <w:tcPr>
            <w:tcW w:type="dxa" w:w="2619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Суммарная доля боридов, мольн. %</w:t>
            </w:r>
          </w:p>
        </w:tc>
        <w:tc>
          <w:tcPr>
            <w:tcW w:type="dxa" w:w="215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Связано хрома</w:t>
            </w:r>
          </w:p>
        </w:tc>
        <w:tc>
          <w:tcPr>
            <w:tcW w:type="dxa" w:w="215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Связано молибдена</w:t>
            </w:r>
          </w:p>
        </w:tc>
      </w:tr>
      <w:tr>
        <w:trPr>
          <w:cantSplit/>
        </w:trPr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1,65</w:t>
            </w:r>
          </w:p>
        </w:tc>
        <w:tc>
          <w:tcPr>
            <w:tcW w:type="dxa" w:w="215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0,4 %</w:t>
            </w:r>
          </w:p>
        </w:tc>
        <w:tc>
          <w:tcPr>
            <w:tcW w:type="dxa" w:w="215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12,0 %</w:t>
            </w:r>
          </w:p>
        </w:tc>
      </w:tr>
      <w:tr>
        <w:trPr>
          <w:cantSplit/>
        </w:trPr>
        <w:tc>
          <w:tcPr>
            <w:tcW w:type="dxa" w:w="243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4,89</w:t>
            </w:r>
          </w:p>
        </w:tc>
        <w:tc>
          <w:tcPr>
            <w:tcW w:type="dxa" w:w="215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1,6 %</w:t>
            </w:r>
          </w:p>
        </w:tc>
        <w:tc>
          <w:tcPr>
            <w:tcW w:type="dxa" w:w="215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35,1 %</w:t>
            </w:r>
          </w:p>
        </w:tc>
      </w:tr>
      <w:tr>
        <w:trPr>
          <w:cantSplit/>
        </w:trPr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0,5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8,05</w:t>
            </w:r>
          </w:p>
        </w:tc>
        <w:tc>
          <w:tcPr>
            <w:tcW w:type="dxa" w:w="215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3,1 %</w:t>
            </w:r>
          </w:p>
        </w:tc>
        <w:tc>
          <w:tcPr>
            <w:tcW w:type="dxa" w:w="215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56,5 %</w:t>
            </w:r>
          </w:p>
        </w:tc>
      </w:tr>
      <w:tr>
        <w:trPr>
          <w:cantSplit/>
        </w:trPr>
        <w:tc>
          <w:tcPr>
            <w:tcW w:type="dxa" w:w="243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1,0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15,69</w:t>
            </w:r>
          </w:p>
        </w:tc>
        <w:tc>
          <w:tcPr>
            <w:tcW w:type="dxa" w:w="215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18,1 %</w:t>
            </w:r>
          </w:p>
        </w:tc>
        <w:tc>
          <w:tcPr>
            <w:tcW w:type="dxa" w:w="215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70,0 %</w:t>
            </w:r>
          </w:p>
        </w:tc>
      </w:tr>
      <w:tr>
        <w:trPr>
          <w:cantSplit/>
        </w:trPr>
        <w:tc>
          <w:tcPr>
            <w:tcW w:type="dxa" w:w="243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28,45</w:t>
            </w:r>
          </w:p>
        </w:tc>
        <w:tc>
          <w:tcPr>
            <w:tcW w:type="dxa" w:w="215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46,2 %</w:t>
            </w:r>
          </w:p>
        </w:tc>
        <w:tc>
          <w:tcPr>
            <w:tcW w:type="dxa" w:w="215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83,7 %</w:t>
            </w:r>
          </w:p>
        </w:tc>
      </w:tr>
      <w:tr>
        <w:trPr>
          <w:cantSplit/>
        </w:trPr>
        <w:tc>
          <w:tcPr>
            <w:tcW w:type="dxa" w:w="243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34,35</w:t>
            </w:r>
          </w:p>
        </w:tc>
        <w:tc>
          <w:tcPr>
            <w:tcW w:type="dxa" w:w="215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55,9 %</w:t>
            </w:r>
          </w:p>
        </w:tc>
        <w:tc>
          <w:tcPr>
            <w:tcW w:type="dxa" w:w="215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90,1 %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Образуются бориды М₂В (на данном составе — практически Мо₂В, 85 масс. % молибдена), МоВ (89,9 % молибдена), Cr₂B, Cr₅B₃, CrB и TiB₂. Депрессант не снижает характеристики матрицы постепенно — он выводит легирующий элемент из твёрдого раствора в отдельную фазу. Хром связывается позже, начиная с 1,0…1,5 масс. % бора.</w:t>
      </w:r>
    </w:p>
    <w:p>
      <w:pPr>
        <w:spacing w:after="0" w:before="14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Рисунок 4 — Бориды и состав γ-матрицы в зависимости от содержания бора в основе, 700 °C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Кремний связывает хром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 3,5 масс. % кремния образуется G-фаза — силицид никеля типа Ni₁₆Si₇X₆: 8,2 мольн. % при 3,5 % кремния и 26,4 мольн. % при 5 %, связывая до 19 % всего хрома сплава. Молибдена G-фаза не содержит. Таким образом, замена бора кремнием переносит воздействие с молибдена на хром, но не устраняет его. При совместном присутствии (3 % бора и 5 % кремния) в боридах и силициде связано 83,2 % хрома и 97,9 % молибдена.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Температура пайки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2245"/>
        <w:gridCol w:w="2619"/>
        <w:gridCol w:w="2245"/>
      </w:tblGrid>
      <w:tr>
        <w:trPr>
          <w:tblHeader/>
        </w:trPr>
        <w:tc>
          <w:tcPr>
            <w:tcW w:type="dxa" w:w="224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Бор, масс. %</w:t>
            </w:r>
          </w:p>
        </w:tc>
        <w:tc>
          <w:tcPr>
            <w:tcW w:type="dxa" w:w="224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Кремний, масс. %</w:t>
            </w:r>
          </w:p>
        </w:tc>
        <w:tc>
          <w:tcPr>
            <w:tcW w:type="dxa" w:w="2619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Солидус основы, °C</w:t>
            </w:r>
          </w:p>
        </w:tc>
        <w:tc>
          <w:tcPr>
            <w:tcW w:type="dxa" w:w="2245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Снижение, K</w:t>
            </w:r>
          </w:p>
        </w:tc>
      </w:tr>
      <w:tr>
        <w:trPr>
          <w:cantSplit/>
        </w:trPr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0,10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1344,2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 (исходное)</w:t>
            </w:r>
          </w:p>
        </w:tc>
      </w:tr>
      <w:tr>
        <w:trPr>
          <w:cantSplit/>
        </w:trPr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0,10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1265,3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78,9</w:t>
            </w:r>
          </w:p>
        </w:tc>
      </w:tr>
      <w:tr>
        <w:trPr>
          <w:cantSplit/>
        </w:trPr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0,10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1204,7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139,5</w:t>
            </w:r>
          </w:p>
        </w:tc>
      </w:tr>
      <w:tr>
        <w:trPr>
          <w:cantSplit/>
        </w:trPr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1276,1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68,1</w:t>
            </w:r>
          </w:p>
        </w:tc>
      </w:tr>
      <w:tr>
        <w:trPr>
          <w:cantSplit/>
        </w:trPr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5,0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1135,0</w:t>
            </w:r>
          </w:p>
        </w:tc>
        <w:tc>
          <w:tcPr>
            <w:tcW w:type="dxa" w:w="224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209,2</w:t>
            </w:r>
          </w:p>
        </w:tc>
      </w:tr>
      <w:tr>
        <w:trPr>
          <w:cantSplit/>
        </w:trPr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1239,6</w:t>
            </w:r>
          </w:p>
        </w:tc>
        <w:tc>
          <w:tcPr>
            <w:tcW w:type="dxa" w:w="2245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104,6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Кремний снижает солидус основы сильнее бора; действие депрессантов не аддитивно. При температуре пайки 1200 °C основа, обогащённая кремнием до 5 масс. %, содержит до 48,8 мольн. % жидкой фазы. Верхняя граница температуры пайки должна назначаться по солидусу обогащённой основы, а не по интервалу плавления припоя.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Контроль паяного соединения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Бор не дополняет Р-фазу, а вытесняет её: доля Р-фазы при 700 °C снижается с 22,3 мольн. % без припоя до 18,2 при 0,1 % бора, 10,1 при 0,3 %, 2,4 при 0,5 % и до нуля при 1,0 % и выше. При этом состояние матрицы ухудшается: обеднение по молибдену при 0,5 масс. % бора глубже, чем создаёт Р-фаза, а при 1050 °C бор выводит из матрицы 6,2 масс. % молибдена там, где без него обеднения нет вовсе.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BE4D5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 приёмки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зоны паяного шва по объёмной доле Р-фазы даст отрицательный результат на структуре, которая по состоянию матрицы хуже исходной. Требуется отдельный критерий приёмки по боридам: М₂В, МоВ, Cr₂B, Cr₅B₃, TiB₂ — с контролем профиля содержания молибдена в матрице по расстоянию от шва.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Разброс в пределах марочного допуска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Оценено, насколько плавка, полностью удовлетворяющая марочным требованиям, может отличаться от контрольного состава. Использованные пределы, масс. %: Cr 23,0…24,0; Mo 12,0…14,0; Ti 0,03…0,16; Nb 0,02…0,10; Fe 0…0,50. Пределы по углероду, кремнию, марганцу, сере и алюминию не задавались, и эти элементы не варьировались.</w:t>
      </w:r>
    </w:p>
    <w:p>
      <w:pPr>
        <w:spacing w:after="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2806"/>
        <w:gridCol w:w="2619"/>
        <w:gridCol w:w="2058"/>
      </w:tblGrid>
      <w:tr>
        <w:trPr>
          <w:tblHeader/>
        </w:trPr>
        <w:tc>
          <w:tcPr>
            <w:tcW w:type="dxa" w:w="187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2806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Размах доли Р-фазы, проц. пункта</w:t>
            </w:r>
          </w:p>
        </w:tc>
        <w:tc>
          <w:tcPr>
            <w:tcW w:type="dxa" w:w="2619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Размах Mo в матрице, масс. %</w:t>
            </w:r>
          </w:p>
        </w:tc>
        <w:tc>
          <w:tcPr>
            <w:tcW w:type="dxa" w:w="2058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Ухудшающий предел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Молибден</w:t>
            </w:r>
          </w:p>
        </w:tc>
        <w:tc>
          <w:tcPr>
            <w:tcW w:type="dxa" w:w="280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6,79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0,36</w:t>
            </w:r>
          </w:p>
        </w:tc>
        <w:tc>
          <w:tcPr>
            <w:tcW w:type="dxa" w:w="205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верхний</w:t>
            </w:r>
          </w:p>
        </w:tc>
      </w:tr>
      <w:tr>
        <w:trPr>
          <w:cantSplit/>
        </w:trPr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Хром</w:t>
            </w:r>
          </w:p>
        </w:tc>
        <w:tc>
          <w:tcPr>
            <w:tcW w:type="dxa" w:w="2806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2,25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0,74</w:t>
            </w:r>
          </w:p>
        </w:tc>
        <w:tc>
          <w:tcPr>
            <w:tcW w:type="dxa" w:w="2058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верхний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Титан</w:t>
            </w:r>
          </w:p>
        </w:tc>
        <w:tc>
          <w:tcPr>
            <w:tcW w:type="dxa" w:w="280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0,67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0,22</w:t>
            </w:r>
          </w:p>
        </w:tc>
        <w:tc>
          <w:tcPr>
            <w:tcW w:type="dxa" w:w="205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верхний</w:t>
            </w:r>
          </w:p>
        </w:tc>
      </w:tr>
      <w:tr>
        <w:trPr>
          <w:cantSplit/>
        </w:trPr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Ниобий</w:t>
            </w:r>
          </w:p>
        </w:tc>
        <w:tc>
          <w:tcPr>
            <w:tcW w:type="dxa" w:w="2806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0,33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0,11</w:t>
            </w:r>
          </w:p>
        </w:tc>
        <w:tc>
          <w:tcPr>
            <w:tcW w:type="dxa" w:w="2058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верхний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Железо</w:t>
            </w:r>
          </w:p>
        </w:tc>
        <w:tc>
          <w:tcPr>
            <w:tcW w:type="dxa" w:w="2806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0,26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0,09</w:t>
            </w:r>
          </w:p>
        </w:tc>
        <w:tc>
          <w:tcPr>
            <w:tcW w:type="dxa" w:w="205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верхний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Доля Р-фазы по полю допуска изменяется в 1,57 раза при 700 °C (17,2…26,9 мольн. %) и в 1,76 раза при 750 °C (13,7…24,1). Определяющим является молибден: каждый процент молибдена даёт 3,3 проц. пункта доли Р-фазы, и марочный размах по молибдену создаёт более двух третей всего разброса.</w:t>
      </w:r>
    </w:p>
    <w:p>
      <w:pPr>
        <w:spacing w:after="0" w:before="14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Рисунок 5 — Доля Р-фазы и молибден в γ-матрице по углам поля марочного допуска. Пунктир — контрольный состав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BE4D5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Требования к поставке не сводятся к одному ограничению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Наибольшую долю Р-фазы даёт сочетание Mo 14,0 + Cr 24,0 — 26,9 мольн. % при 700 °C. Наиболее обеднённую матрицу даёт другое сочетание, Mo 12,0 + Cr 24,0 — 6,39 масс. % молибдена против 7,75 в первом случае.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Снижение молибдена в требованиях к поставке подавляет выделение Р-фазы, но напрямую обедняет матрицу. Выбор определяется тем, что лимитирует ресурс изделия — охрупчивание или коррозионная стойкость матрицы. Единственный элемент, действующий в одном направлении по обоим показателям, — хром в нижней половине поля допуска (23,0…23,5 %).</w:t>
            </w:r>
          </w:p>
        </w:tc>
      </w:tr>
    </w:tbl>
    <w:p>
      <w:pPr>
        <w:spacing w:after="12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Новых ТПУ-фаз поле допуска не вводит. Появляются две фазы иного класса: γ′-фаза при 700 °C (до 0,69 мольн. %, связана с верхним пределом титана) и карбид М₆С при 750 °C при хроме на нижнем пределе — смена карбидной линии с М₂₃С₆ на М₆С. Расчёт устанавливает факт появления γ′-фазы, но не устанавливает её влияния на работоспособность изделия; основания для ужесточения марочного предела по титану из расчёта не следуют.</w:t>
      </w:r>
    </w:p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Изменение объёма и вальцованное соединение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Вальцованное соединение удерживается контактным давлением, поэтому изменение объёма металла при выделении Р-фазы влияет на натяг. Рассчитано изменение объёма; само контактное давление не рассчитывалось.</w:t>
      </w:r>
    </w:p>
    <w:p>
      <w:pPr>
        <w:spacing w:after="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713"/>
        <w:gridCol w:w="2619"/>
        <w:gridCol w:w="2712"/>
      </w:tblGrid>
      <w:tr>
        <w:trPr>
          <w:tblHeader/>
        </w:trPr>
        <w:tc>
          <w:tcPr>
            <w:tcW w:type="dxa" w:w="131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T, °C</w:t>
            </w:r>
          </w:p>
        </w:tc>
        <w:tc>
          <w:tcPr>
            <w:tcW w:type="dxa" w:w="2713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Плотность Р-фазы −10 %</w:t>
            </w:r>
          </w:p>
        </w:tc>
        <w:tc>
          <w:tcPr>
            <w:tcW w:type="dxa" w:w="2619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Номинальная плотность</w:t>
            </w:r>
          </w:p>
        </w:tc>
        <w:tc>
          <w:tcPr>
            <w:tcW w:type="dxa" w:w="271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Плотность Р-фазы +10 %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580</w:t>
            </w:r>
          </w:p>
        </w:tc>
        <w:tc>
          <w:tcPr>
            <w:tcW w:type="dxa" w:w="2713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+3,33 %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−0,001 %</w:t>
            </w:r>
          </w:p>
        </w:tc>
        <w:tc>
          <w:tcPr>
            <w:tcW w:type="dxa" w:w="27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−2,73 %</w:t>
            </w:r>
          </w:p>
        </w:tc>
      </w:tr>
      <w:tr>
        <w:trPr>
          <w:cantSplit/>
        </w:trPr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664</w:t>
            </w:r>
          </w:p>
        </w:tc>
        <w:tc>
          <w:tcPr>
            <w:tcW w:type="dxa" w:w="2713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+2,84 %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−0,002 %</w:t>
            </w:r>
          </w:p>
        </w:tc>
        <w:tc>
          <w:tcPr>
            <w:tcW w:type="dxa" w:w="27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−2,33 %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700</w:t>
            </w:r>
          </w:p>
        </w:tc>
        <w:tc>
          <w:tcPr>
            <w:tcW w:type="dxa" w:w="2713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+2,60 %</w:t>
            </w:r>
          </w:p>
        </w:tc>
        <w:tc>
          <w:tcPr>
            <w:tcW w:type="dxa" w:w="261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−0,000 %</w:t>
            </w:r>
          </w:p>
        </w:tc>
        <w:tc>
          <w:tcPr>
            <w:tcW w:type="dxa" w:w="271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−2,13 %</w:t>
            </w:r>
          </w:p>
        </w:tc>
      </w:tr>
      <w:tr>
        <w:trPr>
          <w:cantSplit/>
        </w:trPr>
        <w:tc>
          <w:tcPr>
            <w:tcW w:type="dxa" w:w="131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750</w:t>
            </w:r>
          </w:p>
        </w:tc>
        <w:tc>
          <w:tcPr>
            <w:tcW w:type="dxa" w:w="2713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+2,22 %</w:t>
            </w:r>
          </w:p>
        </w:tc>
        <w:tc>
          <w:tcPr>
            <w:tcW w:type="dxa" w:w="2619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−0,000 %</w:t>
            </w:r>
          </w:p>
        </w:tc>
        <w:tc>
          <w:tcPr>
            <w:tcW w:type="dxa" w:w="271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−1,82 %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Относительное изменение объёма меняет знак внутри полосы погрешности во всех расчётных точках. Направление изменения объёма расчётом не устанавливается.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Номинальное значение, близкое к нулю, не означает отсутствия эффекта: это разность двух сопоставимых величин. Р-фаза на 5,1…5,2 % объёмнее исходного сплава в пересчёте на моль атомов, а обеднённая молибденом матрица сжимается на 1,2…2,1 %; при равновесной доле 19…29 мольн. % вклады взаимно компенсируются. Поэтому десятипроцентная погрешность плотности Р-фазы приводит не к десятипроцентной погрешности результата, а к смене знака.</w:t>
      </w:r>
    </w:p>
    <w:p>
      <w:pPr>
        <w:spacing w:after="0" w:before="14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Рисунок 6 — Изменение объёма в зависимости от доли выделившейся Р-фазы при 580 и 700 °C; расхождение кривых отвечает погрешности плотности Р-фазы ±10 %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масштаба: тепловое расширение того же сплава даёт линейную деформацию 0,90 % при нагреве от 25 до 700 °C и 0,075 % на рабочем перепаде 700…750 °C. Номинальная деформация от выделения на два-три порядка меньше, однако верхняя граница полосы погрешности (1,11 %) превышает полное тепловое расширение от монтажной до рабочей температуры. Вывод об отсутствии влияния на вальцованное соединение на имеющихся данных не обоснован.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Погрешность обусловлена тем, что плотность Р-фазы не имеет собственной модели в использованной базе физических свойств и оценивается по правилу смеси. Вопрос закрывается измерением плотности Р-фазы либо расчётом её из параметров кристаллической решётки.</w:t>
      </w:r>
    </w:p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9. Сопоставление с экспериментальными данными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Расчётные результаты сопоставлены с опубликованными данными длительного старения сплава ХН62М-ВИ состава Ni 63,2; Cr 23,2; Mo 12,8 масс. % — практически совпадающего с контрольным. Режимы старения: 500, 600, 650 и 700 °C, выдержки 100, 500, 1000, 2000 и 5000 ч.</w:t>
      </w:r>
    </w:p>
    <w:p>
      <w:pPr>
        <w:spacing w:after="80"/>
      </w:pPr>
    </w:p>
    <w:p>
      <w:pPr>
        <w:spacing w:after="9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Измеренные составы фаз после 5000 ч при 700 °C, ат. %: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1871"/>
        <w:gridCol w:w="1871"/>
        <w:gridCol w:w="1870"/>
      </w:tblGrid>
      <w:tr>
        <w:trPr>
          <w:tblHeader/>
        </w:trPr>
        <w:tc>
          <w:tcPr>
            <w:tcW w:type="dxa" w:w="3742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Объект анализа</w:t>
            </w:r>
          </w:p>
        </w:tc>
        <w:tc>
          <w:tcPr>
            <w:tcW w:type="dxa" w:w="187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</w:t>
            </w:r>
          </w:p>
        </w:tc>
        <w:tc>
          <w:tcPr>
            <w:tcW w:type="dxa" w:w="1871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</w:t>
            </w:r>
          </w:p>
        </w:tc>
        <w:tc>
          <w:tcPr>
            <w:tcW w:type="dxa" w:w="187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ТПУ-фаза (измерение 1)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21,8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37,6</w:t>
            </w:r>
          </w:p>
        </w:tc>
        <w:tc>
          <w:tcPr>
            <w:tcW w:type="dxa" w:w="187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40,7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ТПУ-фаза (измерение 2)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22,0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37,8</w:t>
            </w:r>
          </w:p>
        </w:tc>
        <w:tc>
          <w:tcPr>
            <w:tcW w:type="dxa" w:w="187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40,2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Хромистая фаза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70,4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18,8</w:t>
            </w:r>
          </w:p>
        </w:tc>
        <w:tc>
          <w:tcPr>
            <w:tcW w:type="dxa" w:w="187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10,9</w:t>
            </w:r>
          </w:p>
        </w:tc>
      </w:tr>
      <w:tr>
        <w:trPr>
          <w:cantSplit/>
        </w:trPr>
        <w:tc>
          <w:tcPr>
            <w:tcW w:type="dxa" w:w="3742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Матрица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26,3</w:t>
            </w:r>
          </w:p>
        </w:tc>
        <w:tc>
          <w:tcPr>
            <w:tcW w:type="dxa" w:w="1871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64,9</w:t>
            </w:r>
          </w:p>
        </w:tc>
        <w:tc>
          <w:tcPr>
            <w:tcW w:type="dxa" w:w="187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8,8</w:t>
            </w:r>
          </w:p>
        </w:tc>
      </w:tr>
      <w:tr>
        <w:trPr>
          <w:cantSplit/>
        </w:trPr>
        <w:tc>
          <w:tcPr>
            <w:tcW w:type="dxa" w:w="3742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Сплав в целом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26,6</w:t>
            </w:r>
          </w:p>
        </w:tc>
        <w:tc>
          <w:tcPr>
            <w:tcW w:type="dxa" w:w="1871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64,3</w:t>
            </w:r>
          </w:p>
        </w:tc>
        <w:tc>
          <w:tcPr>
            <w:tcW w:type="dxa" w:w="187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Качественно расчёт подтверждается: ТПУ-фаза при 700 °C выделяется, располагается по границам зёрен в виде тонких пластин и цепочек, её плотность и размер растут с выдержкой. Авторы отмечают, что контакт таких граничных выделений с расплавленными электролитами может инициировать межкристаллитную коррозию, что непосредственно относится к условиям работы теплообменника. Снижение пластичности проявляется к 5000 ч.</w:t>
      </w:r>
    </w:p>
    <w:p>
      <w:pPr>
        <w:spacing w:after="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fill="FBE4D5" w:color="auto" w:val="clear"/>
            <w:tcMar>
              <w:top w:type="dxa" w:w="140"/>
              <w:left w:type="dxa" w:w="170"/>
              <w:bottom w:type="dxa" w:w="140"/>
              <w:right w:type="dxa" w:w="170"/>
            </w:tcMar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Два количественных расхождения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Первое. Измеренная ТПУ-фаза содержит около 40 ат. % молибдена, что отвечает классической Р-фазе системы Mo–Ni–Cr (атомное отношение 42 : 40 : 18 по данным структурного определения 1955–1957 гг.). Использованная термодинамическая база описывает Р-фазу трёхподрешёточной моделью, в которой молибден допущен только в одну подрешётку из трёх, что ограничивает его содержание значением 21,4 ат. %. Расчётный состав фазы совпадает с этим ограничением. Вследствие этого модельная фаза содержит около 32 масс. % молибдена против примерно 55 масс. % у реальной, и для связывания одного и того же количества молибдена её требуется примерно в 1,7 раза больше.</w:t>
            </w:r>
          </w:p>
          <w:p>
            <w:pPr>
              <w:spacing w:after="70" w:line="264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Второе. Матрица после 5000 ч при 700 °C практически не обеднена: измерено 8,8 ат. % молибдена против 8,0 ат. % в сплаве, то есть в пределах погрешности анализа. Расчёт предсказывает снижение молибдена в матрице с 13,0 до 6,97 масс. % и равновесную долю Р-фазы 22,3 мольн. %. Баланс по молибдену ограничивает фактическую долю ТПУ-фазы после 5000 ч несколькими процентами.</w:t>
            </w:r>
          </w:p>
        </w:tc>
      </w:tr>
    </w:tbl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Практический вывод. Расчёт правильно определяет характер и механизм деградации: выделение ТПУ-фазы по границам зёрен за времена порядка тысяч часов, обеднение матрицы по молибдену, риск межкристаллитной коррозии в расплаве. Количественная сторона — доля фазы и глубина обеднения — по-видимому, завышена. Результаты, не связанные с абсолютной долей Р-фазы, расхождением не затронуты: это положение границы по межфазной энергии и её температурный ход (раздел 4), выводы по паяному соединению, построенные на боридах (раздел 6), и относительный разброс в пределах марки (раздел 7).</w:t>
      </w:r>
    </w:p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10. Границы применимости результатов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Перечисленное ниже настоящей работой не устанавливается.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Влияние скандия. Использованная база его не содержит; рассчитана основа сплава.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Влияние фосфора (в марке допускается до 0,025 масс. %) — база его не содержит. По той же причине не поддаются оценке фосфорсодержащие припои как альтернатива борным.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Абсолютная шкала времени выделения — определяется межфазной энергией, которая не измерена.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Коррозионная стойкость во фторидном расплаве. Рассчитывается состав матрицы; связь состава со скоростью коррозии не устанавливается.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Ползучесть и релаксация контактного давления вальцованного соединения за ресурс.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Контактное давление вальцовки и усилие вырыва — задача механики контакта.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Радиационная стойкость.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Глубина проникновения бора в основу за время пайки; смачивание, растекание и прочность паяного шва.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Влияние зернограничной диффузии: рост выделений рассчитан по объёмным коэффициентам подвижности, реальное выделение по границам происходит быстрее.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Неизотермические режимы: разогрев, охлаждение, циклирование не рассчитывались.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Влияние ниобия на кинетику: исключён из кинетического расчёта по ограничению расчётного средства, погрешность по равновесной доле Р-фазы составляет 0,23…0,25 проц. пункта.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Марочные пределы по углероду, кремнию, марганцу, сере и алюминию — не задавались, эти элементы в оценке разброса не варьировались.</w:t>
      </w:r>
    </w:p>
    <w:p>
      <w:pPr>
        <w:spacing w:after="140"/>
      </w:pP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Приведённые в отчёте значения являются результатом термодинамического и кинетического моделирования и не заменяют испытаний.</w:t>
      </w:r>
    </w:p>
    <w:p>
      <w:pPr>
        <w:pStyle w:val="Heading1"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11. Рекомендации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По программе испытаний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Основным контролируемым параметром принять содержание молибдена в матрице, определяемое микрорентгеноспектральным анализом. Расчёт даёт по нему однозначную развилку: снижение с 13,0 до 7,1…8,3 масс. % означает, что выделение происходит; сохранение исходного значения — что не происходит; промежуточное значение означало бы неприменимость расчётной модели к данной системе.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Испытание при 580 °C длительностью 200 ч признать недостаточным. Применять ускоренное испытание при 700 °C с пересчётом границы на 580 °C; при отрицательном результате дополнять испытанием при 580 °C длительностью не менее 2 000 ч.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Для паяных образцов контролировать бориды в диффузионной зоне и профиль содержания молибдена по расстоянию от шва. Глубина, на которой молибден возвращается к исходному значению, определяет границу контролируемой зоны.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По требованиям к поставке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Ограничение хрома нижней половиной поля допуска (23,0…23,5 масс. %) улучшает оба показателя одновременно. Ограничение молибдена подавляет выделение Р-фазы, но обедняет матрицу, и вводится только после определения лимитирующего фактора ресурса.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Недостающие исходные данные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4"/>
        <w:gridCol w:w="4490"/>
      </w:tblGrid>
      <w:tr>
        <w:trPr>
          <w:tblHeader/>
        </w:trPr>
        <w:tc>
          <w:tcPr>
            <w:tcW w:type="dxa" w:w="4864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449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Что позволяет определить</w:t>
            </w:r>
          </w:p>
        </w:tc>
      </w:tr>
      <w:tr>
        <w:trPr>
          <w:cantSplit/>
        </w:trPr>
        <w:tc>
          <w:tcPr>
            <w:tcW w:type="dxa" w:w="486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Межфазная энергия границы «матрица — Р-фаза» либо данные длительного старения, позволяющие её определить</w:t>
            </w:r>
          </w:p>
        </w:tc>
        <w:tc>
          <w:tcPr>
            <w:tcW w:type="dxa" w:w="449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факт выделения за ресурс и абсолютные времена</w:t>
            </w:r>
          </w:p>
        </w:tc>
      </w:tr>
      <w:tr>
        <w:trPr>
          <w:cantSplit/>
        </w:trPr>
        <w:tc>
          <w:tcPr>
            <w:tcW w:type="dxa" w:w="4864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Плотность или параметры решётки Р-фазы при составе, близком к расчётному</w:t>
            </w:r>
          </w:p>
        </w:tc>
        <w:tc>
          <w:tcPr>
            <w:tcW w:type="dxa" w:w="449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направление и величину изменения объёма</w:t>
            </w:r>
          </w:p>
        </w:tc>
      </w:tr>
      <w:tr>
        <w:trPr>
          <w:cantSplit/>
        </w:trPr>
        <w:tc>
          <w:tcPr>
            <w:tcW w:type="dxa" w:w="486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ТУ или ГОСТ на ЭК199-ВИ с пределами по всем элементам</w:t>
            </w:r>
          </w:p>
        </w:tc>
        <w:tc>
          <w:tcPr>
            <w:tcW w:type="dxa" w:w="449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разброс по непроверенным элементам марки</w:t>
            </w:r>
          </w:p>
        </w:tc>
      </w:tr>
      <w:tr>
        <w:trPr>
          <w:cantSplit/>
        </w:trPr>
        <w:tc>
          <w:tcPr>
            <w:tcW w:type="dxa" w:w="4864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ГОСТ 19248 — марки никелевых припоев</w:t>
            </w:r>
          </w:p>
        </w:tc>
        <w:tc>
          <w:tcPr>
            <w:tcW w:type="dxa" w:w="4490"/>
            <w:shd w:fill="F2F2F2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привязку результатов раздела 6 к конкретной марке</w:t>
            </w:r>
          </w:p>
        </w:tc>
      </w:tr>
      <w:tr>
        <w:trPr>
          <w:cantSplit/>
        </w:trPr>
        <w:tc>
          <w:tcPr>
            <w:tcW w:type="dxa" w:w="4864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Сертификат на плавку: средний размер зерна</w:t>
            </w:r>
          </w:p>
        </w:tc>
        <w:tc>
          <w:tcPr>
            <w:tcW w:type="dxa" w:w="449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3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плотность центров зарождения на границах зёрен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Использованные источники</w:t>
      </w:r>
    </w:p>
    <w:p>
      <w:pPr>
        <w:spacing w:after="7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Гибадуллина А. Ф., Хотинов В. А., Карабаналов М. С., Половов И. Б. The Effect of Long-Term Aging on the Mechanical Properties of Corrosion-Resistant Nickel-Based Alloys for Their Application in Nuclear Technologies // Applied Sciences. 2025. Vol. 15, № 11. Art. 6133.</w:t>
      </w:r>
    </w:p>
    <w:p>
      <w:pPr>
        <w:spacing w:after="7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Shoemaker D. P., Shoemaker C. B., Wilson F. C. The Crystal Structure of the P Phase, Mo–Ni–Cr. II // Acta Crystallographica. 1957. Vol. 10. P. 1–14.</w:t>
      </w:r>
    </w:p>
    <w:p>
      <w:pPr>
        <w:spacing w:after="7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Lindwall G., Campbell C. E., Lass E. A. et al. Simulation of TTT Curves for Additively Manufactured Inconel 625 // Metallurgical and Materials Transactions A. 2019. Vol. 50, № 1. P. 457–467.</w:t>
      </w:r>
    </w:p>
    <w:p>
      <w:pPr>
        <w:spacing w:after="7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Popp R., Haas S., Scherm F. et al. Determination of solubility limits of refractory elements in TCP phases of the Ni–Mo–Cr ternary system using diffusion multiples // Journal of Alloys and Compounds. 2019. Vol. 788. P. 67–74.</w:t>
      </w:r>
    </w:p>
    <w:p>
      <w:pPr>
        <w:spacing w:after="7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Lu X.-G., Selleby M., Sundman B. Assessments of molar volume and thermal expansion for selected bcc, fcc and hcp metallic elements // Calphad. 2005. Vol. 29. P. 68–89.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spacing w:after="70"/>
      <w:jc w:val="right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ЭК199-ВИ · ТЗ ИЖСР-1476 · расчётная оценка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8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05fb9967f27f946cb8bf5d2dfba8eef1dd3705.png"/><Relationship Id="rId10" Type="http://schemas.openxmlformats.org/officeDocument/2006/relationships/image" Target="media/21faffdafe955d1984c9fd7902703f446066f049.png"/><Relationship Id="rId11" Type="http://schemas.openxmlformats.org/officeDocument/2006/relationships/image" Target="media/9d51dc18ec718de1ed0791d73c8bf3ca5087a9db.png"/><Relationship Id="rId12" Type="http://schemas.openxmlformats.org/officeDocument/2006/relationships/image" Target="media/f33cab665723ccf0c469effda6456535ca20658d.png"/><Relationship Id="rId13" Type="http://schemas.openxmlformats.org/officeDocument/2006/relationships/image" Target="media/49c30b62627847e34897012eda59b7d9447b33d5.png"/><Relationship Id="rId14" Type="http://schemas.openxmlformats.org/officeDocument/2006/relationships/image" Target="media/7c9b8c7d0b71d77c3e9625145f06a4287146836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Расчётная оценка сплава ЭК199-ВИ для промежуточного теплообменника ИЖСР</dc:title>
  <dc:creator>ЭК199-ВИ / ИЖСР-1476</dc:creator>
  <cp:lastModifiedBy>Un-named</cp:lastModifiedBy>
  <cp:revision>1</cp:revision>
  <dcterms:created xsi:type="dcterms:W3CDTF">2026-09-14T02:53:49.553Z</dcterms:created>
  <dcterms:modified xsi:type="dcterms:W3CDTF">2026-09-14T02:53:49.553Z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