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right" w:pos="9026"/>
        </w:tabs>
        <w:spacing w:before="0" w:after="0"/>
      </w:pPr>
      <w:r>
        <w:rPr>
          <w:rFonts w:ascii="Arial" w:cs="Arial" w:eastAsia="Arial" w:hAnsi="Arial"/>
          <w:b/>
          <w:bCs/>
          <w:color w:val="1A7A6E"/>
          <w:spacing w:val="60"/>
          <w:sz w:val="28"/>
          <w:szCs w:val="28"/>
        </w:rPr>
        <w:t xml:space="preserve">TAILOR EDUCATION</w:t>
      </w:r>
      <w:r>
        <w:rPr>
          <w:rFonts w:ascii="Arial" w:cs="Arial" w:eastAsia="Arial" w:hAnsi="Arial"/>
          <w:color w:val="999999"/>
          <w:sz w:val="20"/>
          <w:szCs w:val="20"/>
        </w:rPr>
        <w:t xml:space="preserve">	Platform Brief</w:t>
      </w:r>
    </w:p>
    <w:p>
      <w:pPr>
        <w:pBdr>
          <w:bottom w:val="single" w:color="1A7A6E" w:sz="6" w:space="1"/>
        </w:pBdr>
        <w:spacing w:before="0" w:after="0"/>
      </w:pPr>
      <w:r>
        <w:t xml:space="preserve"/>
      </w:r>
    </w:p>
    <w:p>
      <w:pPr>
        <w:spacing w:before="0" w:after="160"/>
      </w:pPr>
      <w:r>
        <w:t xml:space="preserve"/>
      </w:r>
    </w:p>
    <w:p>
      <w:pPr>
        <w:spacing w:before="200" w:after="80"/>
      </w:pPr>
      <w:r>
        <w:rPr>
          <w:rFonts w:ascii="Arial" w:cs="Arial" w:eastAsia="Arial" w:hAnsi="Arial"/>
          <w:b/>
          <w:bCs/>
          <w:color w:val="1A7A6E"/>
          <w:spacing w:val="40"/>
          <w:sz w:val="17"/>
          <w:szCs w:val="17"/>
        </w:rPr>
        <w:t xml:space="preserve">PLATFORM VISION</w:t>
      </w:r>
    </w:p>
    <w:p>
      <w:pPr>
        <w:spacing w:before="0" w:after="100"/>
      </w:pPr>
      <w:r>
        <w:rPr>
          <w:rFonts w:ascii="Arial" w:cs="Arial" w:eastAsia="Arial" w:hAnsi="Arial"/>
          <w:b/>
          <w:bCs/>
          <w:color w:val="1C2B3A"/>
          <w:sz w:val="26"/>
          <w:szCs w:val="26"/>
        </w:rPr>
        <w:t xml:space="preserve">An activity library and lesson builder for RSE, built for the classroom.</w:t>
      </w:r>
    </w:p>
    <w:p>
      <w:pPr>
        <w:spacing w:before="0" w:after="80"/>
      </w:pPr>
      <w:r>
        <w:t xml:space="preserve"/>
      </w:r>
    </w:p>
    <w:p>
      <w:pPr>
        <w:spacing w:before="0" w:after="120"/>
      </w:pPr>
      <w:r>
        <w:rPr>
          <w:rFonts w:ascii="Arial" w:cs="Arial" w:eastAsia="Arial" w:hAnsi="Arial"/>
          <w:color w:val="4A5568"/>
          <w:sz w:val="21"/>
          <w:szCs w:val="21"/>
        </w:rPr>
        <w:t xml:space="preserve">Tailor Education is a specialist web platform that enables teachers to build, assemble, and deliver RSE lessons directly in the browser. Activities are authored once by an expert consultant, structured as reusable building blocks, and combined into seamless, teachable slide decks via Reveal.js — with no PowerPoint, no reformatting, and no hunting across multiple resources.</w:t>
      </w:r>
    </w:p>
    <w:p>
      <w:pPr>
        <w:spacing w:before="0" w:after="120"/>
      </w:pPr>
      <w:r>
        <w:rPr>
          <w:rFonts w:ascii="Arial" w:cs="Arial" w:eastAsia="Arial" w:hAnsi="Arial"/>
          <w:color w:val="4A5568"/>
          <w:sz w:val="21"/>
          <w:szCs w:val="21"/>
        </w:rPr>
        <w:t xml:space="preserve">Every lesson generates a unique URL. Teachers see structured notes alongside their slides. Printable resources and lesson plans are always one click away. The whole system is designed to remove the preparation burden so teachers can focus on facilitation.</w:t>
      </w:r>
    </w:p>
    <w:p>
      <w:pPr>
        <w:spacing w:before="0" w:after="120"/>
      </w:pPr>
      <w:r>
        <w:t xml:space="preserve"/>
      </w:r>
    </w:p>
    <w:p>
      <w:pPr>
        <w:spacing w:before="200" w:after="80"/>
      </w:pPr>
      <w:r>
        <w:rPr>
          <w:rFonts w:ascii="Arial" w:cs="Arial" w:eastAsia="Arial" w:hAnsi="Arial"/>
          <w:b/>
          <w:bCs/>
          <w:color w:val="1A7A6E"/>
          <w:spacing w:val="40"/>
          <w:sz w:val="17"/>
          <w:szCs w:val="17"/>
        </w:rPr>
        <w:t xml:space="preserve">BUSINESS MODEL</w:t>
      </w:r>
    </w:p>
    <w:p>
      <w:pPr>
        <w:spacing w:before="0" w:after="100"/>
      </w:pPr>
      <w:r>
        <w:rPr>
          <w:rFonts w:ascii="Arial" w:cs="Arial" w:eastAsia="Arial" w:hAnsi="Arial"/>
          <w:b/>
          <w:bCs/>
          <w:color w:val="1C2B3A"/>
          <w:sz w:val="26"/>
          <w:szCs w:val="26"/>
        </w:rPr>
        <w:t xml:space="preserve">Freemium platform. CPD days are the primary revenue.</w:t>
      </w:r>
    </w:p>
    <w:p>
      <w:pPr>
        <w:spacing w:before="0" w:after="80"/>
      </w:pPr>
      <w:r>
        <w:t xml:space="preserve"/>
      </w:r>
    </w:p>
    <w:p>
      <w:pPr>
        <w:spacing w:before="0" w:after="120"/>
      </w:pPr>
      <w:r>
        <w:rPr>
          <w:rFonts w:ascii="Arial" w:cs="Arial" w:eastAsia="Arial" w:hAnsi="Arial"/>
          <w:color w:val="4A5568"/>
          <w:sz w:val="21"/>
          <w:szCs w:val="21"/>
        </w:rPr>
        <w:t xml:space="preserve">The tool and the core activity library are free. Schools access the platform without a purchase decision — removing procurement friction entirely and building trust at scale.</w:t>
      </w:r>
    </w:p>
    <w:p>
      <w:pPr>
        <w:spacing w:before="0" w:after="60"/>
      </w:pPr>
      <w:r>
        <w:t xml:space="preserve"/>
      </w:r>
    </w:p>
    <w:tbl>
      <w:tblPr>
        <w:tblW w:type="dxa" w:w="9360"/>
        <w:tblBorders>
          <w:top w:val="none"/>
          <w:left w:val="none"/>
          <w:bottom w:val="none"/>
          <w:right w:val="none"/>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FFFFFF" w:val="clear"/>
            <w:tcMar>
              <w:top w:type="dxa" w:w="60"/>
              <w:left w:type="dxa" w:w="0"/>
              <w:bottom w:type="dxa" w:w="60"/>
              <w:right w:type="dxa" w:w="200"/>
            </w:tcMar>
          </w:tcPr>
          <w:p>
            <w:r>
              <w:rPr>
                <w:rFonts w:ascii="Arial" w:cs="Arial" w:eastAsia="Arial" w:hAnsi="Arial"/>
                <w:b/>
                <w:bCs/>
                <w:color w:val="1A7A6E"/>
                <w:sz w:val="20"/>
                <w:szCs w:val="20"/>
              </w:rPr>
              <w:t xml:space="preserve">Free tier</w:t>
            </w:r>
          </w:p>
        </w:tc>
        <w:tc>
          <w:tcPr>
            <w:tcW w:type="dxa" w:w="696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r>
              <w:rPr>
                <w:rFonts w:ascii="Arial" w:cs="Arial" w:eastAsia="Arial" w:hAnsi="Arial"/>
                <w:color w:val="4A5568"/>
                <w:sz w:val="20"/>
                <w:szCs w:val="20"/>
              </w:rPr>
              <w:t xml:space="preserve">Full access to standard RSE activities across all key stages. Lesson builder, player, notes, and printable resources included.</w:t>
            </w:r>
          </w:p>
        </w:tc>
      </w:tr>
      <w:tr>
        <w:tc>
          <w:tcPr>
            <w:tcW w:type="dxa" w:w="2400"/>
            <w:tcBorders>
              <w:top w:val="none" w:color="FFFFFF" w:sz="0"/>
              <w:left w:val="none" w:color="FFFFFF" w:sz="0"/>
              <w:bottom w:val="none" w:color="FFFFFF" w:sz="0"/>
              <w:right w:val="none" w:color="FFFFFF" w:sz="0"/>
            </w:tcBorders>
            <w:shd w:fill="FFFFFF" w:val="clear"/>
            <w:tcMar>
              <w:top w:type="dxa" w:w="60"/>
              <w:left w:type="dxa" w:w="0"/>
              <w:bottom w:type="dxa" w:w="60"/>
              <w:right w:type="dxa" w:w="200"/>
            </w:tcMar>
          </w:tcPr>
          <w:p>
            <w:r>
              <w:rPr>
                <w:rFonts w:ascii="Arial" w:cs="Arial" w:eastAsia="Arial" w:hAnsi="Arial"/>
                <w:b/>
                <w:bCs/>
                <w:color w:val="1A7A6E"/>
                <w:sz w:val="20"/>
                <w:szCs w:val="20"/>
              </w:rPr>
              <w:t xml:space="preserve">Hard topics</w:t>
            </w:r>
          </w:p>
        </w:tc>
        <w:tc>
          <w:tcPr>
            <w:tcW w:type="dxa" w:w="696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r>
              <w:rPr>
                <w:rFonts w:ascii="Arial" w:cs="Arial" w:eastAsia="Arial" w:hAnsi="Arial"/>
                <w:color w:val="4A5568"/>
                <w:sz w:val="20"/>
                <w:szCs w:val="20"/>
              </w:rPr>
              <w:t xml:space="preserve">Activities on FGM, masculinity, pornography, and other specialist areas are visible but carry a clear prompt: training recommended.</w:t>
            </w:r>
          </w:p>
        </w:tc>
      </w:tr>
      <w:tr>
        <w:tc>
          <w:tcPr>
            <w:tcW w:type="dxa" w:w="2400"/>
            <w:tcBorders>
              <w:top w:val="none" w:color="FFFFFF" w:sz="0"/>
              <w:left w:val="none" w:color="FFFFFF" w:sz="0"/>
              <w:bottom w:val="none" w:color="FFFFFF" w:sz="0"/>
              <w:right w:val="none" w:color="FFFFFF" w:sz="0"/>
            </w:tcBorders>
            <w:shd w:fill="FFFFFF" w:val="clear"/>
            <w:tcMar>
              <w:top w:type="dxa" w:w="60"/>
              <w:left w:type="dxa" w:w="0"/>
              <w:bottom w:type="dxa" w:w="0"/>
              <w:right w:type="dxa" w:w="200"/>
            </w:tcMar>
          </w:tcPr>
          <w:p>
            <w:r>
              <w:rPr>
                <w:rFonts w:ascii="Arial" w:cs="Arial" w:eastAsia="Arial" w:hAnsi="Arial"/>
                <w:b/>
                <w:bCs/>
                <w:color w:val="1A7A6E"/>
                <w:sz w:val="20"/>
                <w:szCs w:val="20"/>
              </w:rPr>
              <w:t xml:space="preserve">Revenue</w:t>
            </w:r>
          </w:p>
        </w:tc>
        <w:tc>
          <w:tcPr>
            <w:tcW w:type="dxa" w:w="6960"/>
            <w:tcBorders>
              <w:top w:val="none" w:color="FFFFFF" w:sz="0"/>
              <w:left w:val="none" w:color="FFFFFF" w:sz="0"/>
              <w:bottom w:val="none" w:color="FFFFFF" w:sz="0"/>
              <w:right w:val="none" w:color="FFFFFF" w:sz="0"/>
            </w:tcBorders>
            <w:shd w:fill="FFFFFF" w:val="clear"/>
            <w:tcMar>
              <w:top w:type="dxa" w:w="60"/>
              <w:left w:type="dxa" w:w="0"/>
              <w:bottom w:type="dxa" w:w="0"/>
              <w:right w:type="dxa" w:w="0"/>
            </w:tcMar>
          </w:tcPr>
          <w:p>
            <w:r>
              <w:rPr>
                <w:rFonts w:ascii="Arial" w:cs="Arial" w:eastAsia="Arial" w:hAnsi="Arial"/>
                <w:color w:val="4A5568"/>
                <w:sz w:val="20"/>
                <w:szCs w:val="20"/>
              </w:rPr>
              <w:t xml:space="preserve">CPD days delivered by Gareth Esson. Teachers who encounter a hard topic are directed to Tailor Education training at the moment of highest need — a warm lead, zero acquisition cost.</w:t>
            </w:r>
          </w:p>
        </w:tc>
      </w:tr>
    </w:tbl>
    <w:p>
      <w:pPr>
        <w:spacing w:before="0" w:after="120"/>
      </w:pPr>
      <w:r>
        <w:t xml:space="preserve"/>
      </w:r>
    </w:p>
    <w:p>
      <w:pPr>
        <w:spacing w:before="200" w:after="80"/>
      </w:pPr>
      <w:r>
        <w:rPr>
          <w:rFonts w:ascii="Arial" w:cs="Arial" w:eastAsia="Arial" w:hAnsi="Arial"/>
          <w:b/>
          <w:bCs/>
          <w:color w:val="1A7A6E"/>
          <w:spacing w:val="40"/>
          <w:sz w:val="17"/>
          <w:szCs w:val="17"/>
        </w:rPr>
        <w:t xml:space="preserve">CONTENT PHILOSOPHY</w:t>
      </w:r>
    </w:p>
    <w:p>
      <w:pPr>
        <w:spacing w:before="0" w:after="100"/>
      </w:pPr>
      <w:r>
        <w:rPr>
          <w:rFonts w:ascii="Arial" w:cs="Arial" w:eastAsia="Arial" w:hAnsi="Arial"/>
          <w:b/>
          <w:bCs/>
          <w:color w:val="1C2B3A"/>
          <w:sz w:val="26"/>
          <w:szCs w:val="26"/>
        </w:rPr>
        <w:t xml:space="preserve">Expert-authored. Framework-aligned. Built for real classrooms.</w:t>
      </w:r>
    </w:p>
    <w:p>
      <w:pPr>
        <w:spacing w:before="0" w:after="80"/>
      </w:pPr>
      <w:r>
        <w:t xml:space="preserve"/>
      </w:r>
    </w:p>
    <w:p>
      <w:pPr>
        <w:spacing w:before="0" w:after="120"/>
      </w:pPr>
      <w:r>
        <w:rPr>
          <w:rFonts w:ascii="Arial" w:cs="Arial" w:eastAsia="Arial" w:hAnsi="Arial"/>
          <w:color w:val="4A5568"/>
          <w:sz w:val="21"/>
          <w:szCs w:val="21"/>
        </w:rPr>
        <w:t xml:space="preserve">All content is authored by Gareth Esson, a specialist RSE consultant. It is not a repository of crowdsourced resources — it is a coherent, curated library with a consistent pedagogical voice.</w:t>
      </w:r>
    </w:p>
    <w:p>
      <w:pPr>
        <w:spacing w:before="0" w:after="60"/>
      </w:pPr>
      <w:r>
        <w:t xml:space="preserve"/>
      </w:r>
    </w:p>
    <w:p>
      <w:pPr>
        <w:pStyle w:val="ListParagraph"/>
        <w:numPr>
          <w:ilvl w:val="0"/>
          <w:numId w:val="2"/>
        </w:numPr>
        <w:spacing w:before="40" w:after="40"/>
      </w:pPr>
      <w:r>
        <w:rPr>
          <w:rFonts w:ascii="Arial" w:cs="Arial" w:eastAsia="Arial" w:hAnsi="Arial"/>
          <w:b/>
          <w:bCs/>
          <w:color w:val="1C2B3A"/>
          <w:sz w:val="21"/>
          <w:szCs w:val="21"/>
        </w:rPr>
        <w:t xml:space="preserve">Statutory: </w:t>
      </w:r>
      <w:r>
        <w:rPr>
          <w:rFonts w:ascii="Arial" w:cs="Arial" w:eastAsia="Arial" w:hAnsi="Arial"/>
          <w:color w:val="4A5568"/>
          <w:sz w:val="21"/>
          <w:szCs w:val="21"/>
        </w:rPr>
        <w:t xml:space="preserve">Aligned to DfE statutory RSE guidance (current and September 2026 revision).</w:t>
      </w:r>
    </w:p>
    <w:p>
      <w:pPr>
        <w:pStyle w:val="ListParagraph"/>
        <w:numPr>
          <w:ilvl w:val="0"/>
          <w:numId w:val="2"/>
        </w:numPr>
        <w:spacing w:before="40" w:after="40"/>
      </w:pPr>
      <w:r>
        <w:rPr>
          <w:rFonts w:ascii="Arial" w:cs="Arial" w:eastAsia="Arial" w:hAnsi="Arial"/>
          <w:b/>
          <w:bCs/>
          <w:color w:val="1C2B3A"/>
          <w:sz w:val="21"/>
          <w:szCs w:val="21"/>
        </w:rPr>
        <w:t xml:space="preserve">Standards: </w:t>
      </w:r>
      <w:r>
        <w:rPr>
          <w:rFonts w:ascii="Arial" w:cs="Arial" w:eastAsia="Arial" w:hAnsi="Arial"/>
          <w:color w:val="4A5568"/>
          <w:sz w:val="21"/>
          <w:szCs w:val="21"/>
        </w:rPr>
        <w:t xml:space="preserve">Mapped to the PSHE Association Programme of Study by key stage.</w:t>
      </w:r>
    </w:p>
    <w:p>
      <w:pPr>
        <w:pStyle w:val="ListParagraph"/>
        <w:numPr>
          <w:ilvl w:val="0"/>
          <w:numId w:val="2"/>
        </w:numPr>
        <w:spacing w:before="40" w:after="40"/>
      </w:pPr>
      <w:r>
        <w:rPr>
          <w:rFonts w:ascii="Arial" w:cs="Arial" w:eastAsia="Arial" w:hAnsi="Arial"/>
          <w:b/>
          <w:bCs/>
          <w:color w:val="1C2B3A"/>
          <w:sz w:val="21"/>
          <w:szCs w:val="21"/>
        </w:rPr>
        <w:t xml:space="preserve">International: </w:t>
      </w:r>
      <w:r>
        <w:rPr>
          <w:rFonts w:ascii="Arial" w:cs="Arial" w:eastAsia="Arial" w:hAnsi="Arial"/>
          <w:color w:val="4A5568"/>
          <w:sz w:val="21"/>
          <w:szCs w:val="21"/>
        </w:rPr>
        <w:t xml:space="preserve">Grounded in UNESCO and WHO international frameworks for comprehensive sexuality education.</w:t>
      </w:r>
    </w:p>
    <w:p>
      <w:pPr>
        <w:pStyle w:val="ListParagraph"/>
        <w:numPr>
          <w:ilvl w:val="0"/>
          <w:numId w:val="2"/>
        </w:numPr>
        <w:spacing w:before="40" w:after="40"/>
      </w:pPr>
      <w:r>
        <w:rPr>
          <w:rFonts w:ascii="Arial" w:cs="Arial" w:eastAsia="Arial" w:hAnsi="Arial"/>
          <w:b/>
          <w:bCs/>
          <w:color w:val="1C2B3A"/>
          <w:sz w:val="21"/>
          <w:szCs w:val="21"/>
        </w:rPr>
        <w:t xml:space="preserve">Safeguarding: </w:t>
      </w:r>
      <w:r>
        <w:rPr>
          <w:rFonts w:ascii="Arial" w:cs="Arial" w:eastAsia="Arial" w:hAnsi="Arial"/>
          <w:color w:val="4A5568"/>
          <w:sz w:val="21"/>
          <w:szCs w:val="21"/>
        </w:rPr>
        <w:t xml:space="preserve">Safeguarding-aware — FGM mandatory reporting and KCSIE duties are embedded in relevant activities, not treated as footnotes.</w:t>
      </w:r>
    </w:p>
    <w:p>
      <w:pPr>
        <w:pStyle w:val="ListParagraph"/>
        <w:numPr>
          <w:ilvl w:val="0"/>
          <w:numId w:val="2"/>
        </w:numPr>
        <w:spacing w:before="40" w:after="40"/>
      </w:pPr>
      <w:r>
        <w:rPr>
          <w:rFonts w:ascii="Arial" w:cs="Arial" w:eastAsia="Arial" w:hAnsi="Arial"/>
          <w:b/>
          <w:bCs/>
          <w:color w:val="1C2B3A"/>
          <w:sz w:val="21"/>
          <w:szCs w:val="21"/>
        </w:rPr>
        <w:t xml:space="preserve">Inclusive: </w:t>
      </w:r>
      <w:r>
        <w:rPr>
          <w:rFonts w:ascii="Arial" w:cs="Arial" w:eastAsia="Arial" w:hAnsi="Arial"/>
          <w:color w:val="4A5568"/>
          <w:sz w:val="21"/>
          <w:szCs w:val="21"/>
        </w:rPr>
        <w:t xml:space="preserve">Inclusive by design — Equality Act 2010 protected characteristics inform every activity.</w:t>
      </w:r>
    </w:p>
    <w:p>
      <w:pPr>
        <w:spacing w:before="0" w:after="60"/>
      </w:pPr>
      <w:r>
        <w:t xml:space="preserve"/>
      </w:r>
    </w:p>
    <w:p>
      <w:pPr>
        <w:spacing w:before="0" w:after="120"/>
      </w:pPr>
      <w:r>
        <w:rPr>
          <w:rFonts w:ascii="Arial" w:cs="Arial" w:eastAsia="Arial" w:hAnsi="Arial"/>
          <w:color w:val="4A5568"/>
          <w:sz w:val="21"/>
          <w:szCs w:val="21"/>
        </w:rPr>
        <w:t xml:space="preserve">The platform is designed to make Tailor Education the trusted authority schools turn to when RSE gets difficult — not just a resource site, but a professional home for expert-led RSE practice.</w:t>
      </w:r>
    </w:p>
    <w:p>
      <w:pPr>
        <w:spacing w:before="0" w:after="120"/>
      </w:pPr>
      <w:r>
        <w:t xml:space="preserve"/>
      </w:r>
    </w:p>
    <w:p>
      <w:pPr>
        <w:pBdr>
          <w:bottom w:val="single" w:color="C8D8D6" w:sz="6" w:space="1"/>
        </w:pBdr>
        <w:spacing w:before="0" w:after="0"/>
      </w:pPr>
      <w:r>
        <w:t xml:space="preserve"/>
      </w:r>
    </w:p>
    <w:p>
      <w:pPr>
        <w:spacing w:before="0" w:after="80"/>
      </w:pPr>
      <w:r>
        <w:t xml:space="preserve"/>
      </w:r>
    </w:p>
    <w:p>
      <w:pPr>
        <w:tabs>
          <w:tab w:val="right" w:pos="9026"/>
        </w:tabs>
        <w:spacing w:before="0" w:after="0"/>
      </w:pPr>
      <w:r>
        <w:rPr>
          <w:rFonts w:ascii="Arial" w:cs="Arial" w:eastAsia="Arial" w:hAnsi="Arial"/>
          <w:color w:val="999999"/>
          <w:sz w:val="17"/>
          <w:szCs w:val="17"/>
        </w:rPr>
        <w:t xml:space="preserve">Gareth Esson  —  Tailor Education</w:t>
      </w:r>
      <w:r>
        <w:rPr>
          <w:rFonts w:ascii="Arial" w:cs="Arial" w:eastAsia="Arial" w:hAnsi="Arial"/>
          <w:color w:val="BBBBBB"/>
          <w:sz w:val="17"/>
          <w:szCs w:val="17"/>
        </w:rPr>
        <w:t xml:space="preserve">	Confidential  |  March 2026</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rPr>
        <w:rFonts w:ascii="Arial" w:cs="Arial" w:eastAsia="Arial" w:hAnsi="Arial"/>
        <w:color w:val="4A5568"/>
        <w:sz w:val="21"/>
        <w:szCs w:val="21"/>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2026-03-23T14:59:29.771Z</dcterms:created>
  <dcterms:modified xsi:type="dcterms:W3CDTF">2026-03-23T14:59:29.771Z</dcterms:modified>
</cp:coreProperties>
</file>

<file path=docProps/custom.xml><?xml version="1.0" encoding="utf-8"?>
<Properties xmlns="http://schemas.openxmlformats.org/officeDocument/2006/custom-properties" xmlns:vt="http://schemas.openxmlformats.org/officeDocument/2006/docPropsVTypes"/>
</file>