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Patient-Controlled Health Information Exchange</w:t>
      </w:r>
    </w:p>
    <w:p>
      <w:pPr>
        <w:spacing w:after="80"/>
        <w:jc w:val="center"/>
      </w:pPr>
      <w:r>
        <w:rPr>
          <w:rFonts w:ascii="Arial" w:cs="Arial" w:eastAsia="Arial" w:hAnsi="Arial"/>
          <w:color w:val="767676"/>
          <w:sz w:val="28"/>
          <w:szCs w:val="28"/>
        </w:rPr>
        <w:t xml:space="preserve">System Requirements Document</w:t>
      </w:r>
    </w:p>
    <w:p>
      <w:pPr>
        <w:pBdr>
          <w:bottom w:val="single" w:color="2E75B6" w:sz="8" w:space="1"/>
        </w:pBdr>
        <w:spacing w:after="400"/>
        <w:jc w:val="center"/>
      </w:pPr>
      <w:r>
        <w:rPr>
          <w:rFonts w:ascii="Arial" w:cs="Arial" w:eastAsia="Arial" w:hAnsi="Arial"/>
          <w:i/>
          <w:iCs/>
          <w:color w:val="AAAAAA"/>
          <w:sz w:val="20"/>
          <w:szCs w:val="20"/>
        </w:rPr>
        <w:t xml:space="preserve">Version 1.0  |  Derived from Stakeholder Workshop Notes and User Requirements</w:t>
      </w:r>
    </w:p>
    <w:p>
      <w:pPr>
        <w:pStyle w:val="Heading1"/>
        <w:spacing w:before="360" w:after="140"/>
      </w:pPr>
      <w:r>
        <w:rPr>
          <w:rFonts w:ascii="Arial" w:cs="Arial" w:eastAsia="Arial" w:hAnsi="Arial"/>
          <w:b/>
          <w:bCs/>
          <w:color w:val="1F4E79"/>
          <w:sz w:val="32"/>
          <w:szCs w:val="32"/>
        </w:rPr>
        <w:t xml:space="preserve">1. Context</w:t>
      </w:r>
    </w:p>
    <w:p>
      <w:pPr>
        <w:spacing w:after="180"/>
      </w:pPr>
      <w:r>
        <w:rPr>
          <w:rFonts w:ascii="Arial" w:cs="Arial" w:eastAsia="Arial" w:hAnsi="Arial"/>
          <w:color w:val="404040"/>
          <w:sz w:val="22"/>
          <w:szCs w:val="22"/>
        </w:rPr>
        <w:t xml:space="preserve">Patients in today’s healthcare system routinely receive care from multiple providers — primary care physicians, specialists, urgent-care clinics, and emergency departments. Each provider organisation operates within its own electronic health record (EHR) platform, and these platforms do not automatically share data with one another. As a result, patients are forced to recall and manually re-enter their medical history at every new encounter, acting as the messenger carrying information between providers. This creates clinical risk through errors and omissions, particularly in time-critical situations.</w:t>
      </w:r>
    </w:p>
    <w:p>
      <w:pPr>
        <w:spacing w:after="180"/>
      </w:pPr>
      <w:r>
        <w:rPr>
          <w:rFonts w:ascii="Arial" w:cs="Arial" w:eastAsia="Arial" w:hAnsi="Arial"/>
          <w:color w:val="404040"/>
          <w:sz w:val="22"/>
          <w:szCs w:val="22"/>
        </w:rPr>
        <w:t xml:space="preserve">The opportunity identified by stakeholders is to place individuals in control of their own longitudinal health record so that accurate and complete information is available to any authorised provider without requiring manual patient effort. Existing frameworks — including HL7 FHIR, the eHealth Exchange network, proprietary systems, and the 21st Century Cures Act — provide a technical and regulatory foundation on which such a solution can be built. Rather than attempting to dismantle existing EHR silos, this system enables individuals to aggregate, own, and share their health data across organisational and platform boundaries.</w:t>
      </w:r>
    </w:p>
    <w:p>
      <w:pPr>
        <w:pStyle w:val="Heading1"/>
        <w:spacing w:before="360" w:after="140"/>
      </w:pPr>
      <w:r>
        <w:rPr>
          <w:rFonts w:ascii="Arial" w:cs="Arial" w:eastAsia="Arial" w:hAnsi="Arial"/>
          <w:b/>
          <w:bCs/>
          <w:color w:val="1F4E79"/>
          <w:sz w:val="32"/>
          <w:szCs w:val="32"/>
        </w:rPr>
        <w:t xml:space="preserve">2. Functional Requirements</w:t>
      </w:r>
    </w:p>
    <w:p>
      <w:pPr>
        <w:pStyle w:val="Heading2"/>
        <w:spacing w:before="260" w:after="100"/>
      </w:pPr>
      <w:r>
        <w:rPr>
          <w:rFonts w:ascii="Arial" w:cs="Arial" w:eastAsia="Arial" w:hAnsi="Arial"/>
          <w:b/>
          <w:bCs/>
          <w:color w:val="2E75B6"/>
          <w:sz w:val="26"/>
          <w:szCs w:val="26"/>
        </w:rPr>
        <w:t xml:space="preserve">2.1  Patient Record Management</w:t>
      </w:r>
    </w:p>
    <w:p>
      <w:pPr>
        <w:pStyle w:val="ListParagraph"/>
        <w:numPr>
          <w:ilvl w:val="0"/>
          <w:numId w:val="2"/>
        </w:numPr>
        <w:spacing w:after="180"/>
      </w:pPr>
      <w:r>
        <w:rPr>
          <w:rFonts w:ascii="Arial" w:cs="Arial" w:eastAsia="Arial" w:hAnsi="Arial"/>
          <w:b/>
          <w:bCs/>
          <w:color w:val="2E75B6"/>
          <w:sz w:val="22"/>
          <w:szCs w:val="22"/>
        </w:rPr>
        <w:t xml:space="preserve">SRD-0001  </w:t>
      </w:r>
      <w:r>
        <w:rPr>
          <w:rFonts w:ascii="Arial" w:cs="Arial" w:eastAsia="Arial" w:hAnsi="Arial"/>
          <w:b/>
          <w:bCs/>
          <w:color w:val="1F4E79"/>
          <w:sz w:val="22"/>
          <w:szCs w:val="22"/>
        </w:rPr>
        <w:t xml:space="preserve">Unified Patient Record View: </w:t>
      </w:r>
      <w:r>
        <w:rPr>
          <w:rFonts w:ascii="Arial" w:cs="Arial" w:eastAsia="Arial" w:hAnsi="Arial"/>
          <w:color w:val="404040"/>
          <w:sz w:val="22"/>
          <w:szCs w:val="22"/>
        </w:rPr>
        <w:t xml:space="preserve">The system shall aggregate and present a patient’s complete health record from all authorised providers in a single view so that patients and clinicians have immediate access to a full longitudinal history without visiting multiple platforms.</w:t>
      </w:r>
    </w:p>
    <w:p>
      <w:pPr>
        <w:pStyle w:val="ListParagraph"/>
        <w:numPr>
          <w:ilvl w:val="0"/>
          <w:numId w:val="2"/>
        </w:numPr>
        <w:spacing w:after="180"/>
      </w:pPr>
      <w:r>
        <w:rPr>
          <w:rFonts w:ascii="Arial" w:cs="Arial" w:eastAsia="Arial" w:hAnsi="Arial"/>
          <w:b/>
          <w:bCs/>
          <w:color w:val="2E75B6"/>
          <w:sz w:val="22"/>
          <w:szCs w:val="22"/>
        </w:rPr>
        <w:t xml:space="preserve">SRD-0002  </w:t>
      </w:r>
      <w:r>
        <w:rPr>
          <w:rFonts w:ascii="Arial" w:cs="Arial" w:eastAsia="Arial" w:hAnsi="Arial"/>
          <w:b/>
          <w:bCs/>
          <w:color w:val="1F4E79"/>
          <w:sz w:val="22"/>
          <w:szCs w:val="22"/>
        </w:rPr>
        <w:t xml:space="preserve">Automated Multi-Provider Record Aggregation: </w:t>
      </w:r>
      <w:r>
        <w:rPr>
          <w:rFonts w:ascii="Arial" w:cs="Arial" w:eastAsia="Arial" w:hAnsi="Arial"/>
          <w:color w:val="404040"/>
          <w:sz w:val="22"/>
          <w:szCs w:val="22"/>
        </w:rPr>
        <w:t xml:space="preserve">The system shall automatically retrieve and consolidate records from all providers the patient has authorised so that the patient’s record is kept current without requiring manual effort from the patient or clinical staff.</w:t>
      </w:r>
    </w:p>
    <w:p>
      <w:pPr>
        <w:pStyle w:val="ListParagraph"/>
        <w:numPr>
          <w:ilvl w:val="0"/>
          <w:numId w:val="2"/>
        </w:numPr>
        <w:spacing w:after="180"/>
      </w:pPr>
      <w:r>
        <w:rPr>
          <w:rFonts w:ascii="Arial" w:cs="Arial" w:eastAsia="Arial" w:hAnsi="Arial"/>
          <w:b/>
          <w:bCs/>
          <w:color w:val="2E75B6"/>
          <w:sz w:val="22"/>
          <w:szCs w:val="22"/>
        </w:rPr>
        <w:t xml:space="preserve">SRD-0003  </w:t>
      </w:r>
      <w:r>
        <w:rPr>
          <w:rFonts w:ascii="Arial" w:cs="Arial" w:eastAsia="Arial" w:hAnsi="Arial"/>
          <w:b/>
          <w:bCs/>
          <w:color w:val="1F4E79"/>
          <w:sz w:val="22"/>
          <w:szCs w:val="22"/>
        </w:rPr>
        <w:t xml:space="preserve">Push Distribution to Authorised Providers: </w:t>
      </w:r>
      <w:r>
        <w:rPr>
          <w:rFonts w:ascii="Arial" w:cs="Arial" w:eastAsia="Arial" w:hAnsi="Arial"/>
          <w:color w:val="404040"/>
          <w:sz w:val="22"/>
          <w:szCs w:val="22"/>
        </w:rPr>
        <w:t xml:space="preserve">The system shall automatically deliver updated patient records to all authorised providers whenever new information is added to the patient’s record so that every member of the care team has current information without waiting for the patient to act as messenger.</w:t>
      </w:r>
    </w:p>
    <w:p>
      <w:pPr>
        <w:pStyle w:val="ListParagraph"/>
        <w:numPr>
          <w:ilvl w:val="0"/>
          <w:numId w:val="2"/>
        </w:numPr>
        <w:spacing w:after="180"/>
      </w:pPr>
      <w:r>
        <w:rPr>
          <w:rFonts w:ascii="Arial" w:cs="Arial" w:eastAsia="Arial" w:hAnsi="Arial"/>
          <w:b/>
          <w:bCs/>
          <w:color w:val="2E75B6"/>
          <w:sz w:val="22"/>
          <w:szCs w:val="22"/>
        </w:rPr>
        <w:t xml:space="preserve">SRD-0004  </w:t>
      </w:r>
      <w:r>
        <w:rPr>
          <w:rFonts w:ascii="Arial" w:cs="Arial" w:eastAsia="Arial" w:hAnsi="Arial"/>
          <w:b/>
          <w:bCs/>
          <w:color w:val="1F4E79"/>
          <w:sz w:val="22"/>
          <w:szCs w:val="22"/>
        </w:rPr>
        <w:t xml:space="preserve">On-Demand Pull Query for Clinicians: </w:t>
      </w:r>
      <w:r>
        <w:rPr>
          <w:rFonts w:ascii="Arial" w:cs="Arial" w:eastAsia="Arial" w:hAnsi="Arial"/>
          <w:color w:val="404040"/>
          <w:sz w:val="22"/>
          <w:szCs w:val="22"/>
        </w:rPr>
        <w:t xml:space="preserve">The system shall allow authorised clinicians to query the patient’s aggregated record on demand at the point of care so that complete patient history is available for clinical decision-making, reducing the risk of avoidable hospitalisations and duplicate testing.</w:t>
      </w:r>
    </w:p>
    <w:p>
      <w:pPr>
        <w:pStyle w:val="ListParagraph"/>
        <w:numPr>
          <w:ilvl w:val="0"/>
          <w:numId w:val="2"/>
        </w:numPr>
        <w:spacing w:after="180"/>
      </w:pPr>
      <w:r>
        <w:rPr>
          <w:rFonts w:ascii="Arial" w:cs="Arial" w:eastAsia="Arial" w:hAnsi="Arial"/>
          <w:b/>
          <w:bCs/>
          <w:color w:val="2E75B6"/>
          <w:sz w:val="22"/>
          <w:szCs w:val="22"/>
        </w:rPr>
        <w:t xml:space="preserve">SRD-0005  </w:t>
      </w:r>
      <w:r>
        <w:rPr>
          <w:rFonts w:ascii="Arial" w:cs="Arial" w:eastAsia="Arial" w:hAnsi="Arial"/>
          <w:b/>
          <w:bCs/>
          <w:color w:val="1F4E79"/>
          <w:sz w:val="22"/>
          <w:szCs w:val="22"/>
        </w:rPr>
        <w:t xml:space="preserve">Patient-Initiated Data Entry and Correction: </w:t>
      </w:r>
      <w:r>
        <w:rPr>
          <w:rFonts w:ascii="Arial" w:cs="Arial" w:eastAsia="Arial" w:hAnsi="Arial"/>
          <w:color w:val="404040"/>
          <w:sz w:val="22"/>
          <w:szCs w:val="22"/>
        </w:rPr>
        <w:t xml:space="preserve">The system shall enable patients to add their own health information (including immunisations received at a pharmacy, allergies, and over-the-counter medications) and to flag or correct inaccurate provider-entered data so that the record is complete and accurate even where provider systems have not yet captured or correctly recorded the information.</w:t>
      </w:r>
    </w:p>
    <w:p>
      <w:pPr>
        <w:pStyle w:val="ListParagraph"/>
        <w:numPr>
          <w:ilvl w:val="0"/>
          <w:numId w:val="2"/>
        </w:numPr>
        <w:spacing w:after="180"/>
      </w:pPr>
      <w:r>
        <w:rPr>
          <w:rFonts w:ascii="Arial" w:cs="Arial" w:eastAsia="Arial" w:hAnsi="Arial"/>
          <w:b/>
          <w:bCs/>
          <w:color w:val="2E75B6"/>
          <w:sz w:val="22"/>
          <w:szCs w:val="22"/>
        </w:rPr>
        <w:t xml:space="preserve">SRD-0006  </w:t>
      </w:r>
      <w:r>
        <w:rPr>
          <w:rFonts w:ascii="Arial" w:cs="Arial" w:eastAsia="Arial" w:hAnsi="Arial"/>
          <w:b/>
          <w:bCs/>
          <w:color w:val="1F4E79"/>
          <w:sz w:val="22"/>
          <w:szCs w:val="22"/>
        </w:rPr>
        <w:t xml:space="preserve">AI-Assisted Cross-System Field Normalisation: </w:t>
      </w:r>
      <w:r>
        <w:rPr>
          <w:rFonts w:ascii="Arial" w:cs="Arial" w:eastAsia="Arial" w:hAnsi="Arial"/>
          <w:color w:val="404040"/>
          <w:sz w:val="22"/>
          <w:szCs w:val="22"/>
        </w:rPr>
        <w:t xml:space="preserve">The system shall use AI/ML to identify, map, and normalise data fields from heterogeneous source EHR systems into a consistent internal schema so that records from incompatible formats can be presented in a unified view without manual transformation.</w:t>
      </w:r>
    </w:p>
    <w:p>
      <w:pPr>
        <w:pStyle w:val="ListParagraph"/>
        <w:numPr>
          <w:ilvl w:val="0"/>
          <w:numId w:val="2"/>
        </w:numPr>
        <w:spacing w:after="180"/>
      </w:pPr>
      <w:r>
        <w:rPr>
          <w:rFonts w:ascii="Arial" w:cs="Arial" w:eastAsia="Arial" w:hAnsi="Arial"/>
          <w:b/>
          <w:bCs/>
          <w:color w:val="2E75B6"/>
          <w:sz w:val="22"/>
          <w:szCs w:val="22"/>
        </w:rPr>
        <w:t xml:space="preserve">SRD-0007  </w:t>
      </w:r>
      <w:r>
        <w:rPr>
          <w:rFonts w:ascii="Arial" w:cs="Arial" w:eastAsia="Arial" w:hAnsi="Arial"/>
          <w:b/>
          <w:bCs/>
          <w:color w:val="1F4E79"/>
          <w:sz w:val="22"/>
          <w:szCs w:val="22"/>
        </w:rPr>
        <w:t xml:space="preserve">Printable Patient Record Summary: </w:t>
      </w:r>
      <w:r>
        <w:rPr>
          <w:rFonts w:ascii="Arial" w:cs="Arial" w:eastAsia="Arial" w:hAnsi="Arial"/>
          <w:color w:val="404040"/>
          <w:sz w:val="22"/>
          <w:szCs w:val="22"/>
        </w:rPr>
        <w:t xml:space="preserve">The system shall generate a formatted, printable summary of a patient’s health record on request so that patients can share their information with providers who do not have digital access to the system or in situations where digital access is unavailable.</w:t>
      </w:r>
    </w:p>
    <w:p>
      <w:pPr>
        <w:pStyle w:val="Heading2"/>
        <w:spacing w:before="260" w:after="100"/>
      </w:pPr>
      <w:r>
        <w:rPr>
          <w:rFonts w:ascii="Arial" w:cs="Arial" w:eastAsia="Arial" w:hAnsi="Arial"/>
          <w:b/>
          <w:bCs/>
          <w:color w:val="2E75B6"/>
          <w:sz w:val="26"/>
          <w:szCs w:val="26"/>
        </w:rPr>
        <w:t xml:space="preserve">2.2  Consent and Access Control</w:t>
      </w:r>
    </w:p>
    <w:p>
      <w:pPr>
        <w:pStyle w:val="ListParagraph"/>
        <w:numPr>
          <w:ilvl w:val="0"/>
          <w:numId w:val="2"/>
        </w:numPr>
        <w:spacing w:after="180"/>
      </w:pPr>
      <w:r>
        <w:rPr>
          <w:rFonts w:ascii="Arial" w:cs="Arial" w:eastAsia="Arial" w:hAnsi="Arial"/>
          <w:b/>
          <w:bCs/>
          <w:color w:val="2E75B6"/>
          <w:sz w:val="22"/>
          <w:szCs w:val="22"/>
        </w:rPr>
        <w:t xml:space="preserve">SRD-0008  </w:t>
      </w:r>
      <w:r>
        <w:rPr>
          <w:rFonts w:ascii="Arial" w:cs="Arial" w:eastAsia="Arial" w:hAnsi="Arial"/>
          <w:b/>
          <w:bCs/>
          <w:color w:val="1F4E79"/>
          <w:sz w:val="22"/>
          <w:szCs w:val="22"/>
        </w:rPr>
        <w:t xml:space="preserve">Granular Per-Provider Consent Management: </w:t>
      </w:r>
      <w:r>
        <w:rPr>
          <w:rFonts w:ascii="Arial" w:cs="Arial" w:eastAsia="Arial" w:hAnsi="Arial"/>
          <w:color w:val="404040"/>
          <w:sz w:val="22"/>
          <w:szCs w:val="22"/>
        </w:rPr>
        <w:t xml:space="preserve">The system shall allow patients to grant, modify, and revoke access permissions for individual providers and healthcare facilities at any time so that patients retain continuous, granular control over who can view or contribute to their health record.</w:t>
      </w:r>
    </w:p>
    <w:p>
      <w:pPr>
        <w:pStyle w:val="ListParagraph"/>
        <w:numPr>
          <w:ilvl w:val="0"/>
          <w:numId w:val="2"/>
        </w:numPr>
        <w:spacing w:after="180"/>
      </w:pPr>
      <w:r>
        <w:rPr>
          <w:rFonts w:ascii="Arial" w:cs="Arial" w:eastAsia="Arial" w:hAnsi="Arial"/>
          <w:b/>
          <w:bCs/>
          <w:color w:val="2E75B6"/>
          <w:sz w:val="22"/>
          <w:szCs w:val="22"/>
        </w:rPr>
        <w:t xml:space="preserve">SRD-0009  </w:t>
      </w:r>
      <w:r>
        <w:rPr>
          <w:rFonts w:ascii="Arial" w:cs="Arial" w:eastAsia="Arial" w:hAnsi="Arial"/>
          <w:b/>
          <w:bCs/>
          <w:color w:val="1F4E79"/>
          <w:sz w:val="22"/>
          <w:szCs w:val="22"/>
        </w:rPr>
        <w:t xml:space="preserve">Point-of-Care Access Grant: </w:t>
      </w:r>
      <w:r>
        <w:rPr>
          <w:rFonts w:ascii="Arial" w:cs="Arial" w:eastAsia="Arial" w:hAnsi="Arial"/>
          <w:color w:val="404040"/>
          <w:sz w:val="22"/>
          <w:szCs w:val="22"/>
        </w:rPr>
        <w:t xml:space="preserve">The system shall provide a rapid, low-friction mechanism — such as a QR code or one-time authorisation link — for patients to grant a new facility access to their record at the point of check-in so that the care team has the information they need immediately without the patient completing lengthy paper forms.</w:t>
      </w:r>
    </w:p>
    <w:p>
      <w:pPr>
        <w:pStyle w:val="ListParagraph"/>
        <w:numPr>
          <w:ilvl w:val="0"/>
          <w:numId w:val="2"/>
        </w:numPr>
        <w:spacing w:after="180"/>
      </w:pPr>
      <w:r>
        <w:rPr>
          <w:rFonts w:ascii="Arial" w:cs="Arial" w:eastAsia="Arial" w:hAnsi="Arial"/>
          <w:b/>
          <w:bCs/>
          <w:color w:val="2E75B6"/>
          <w:sz w:val="22"/>
          <w:szCs w:val="22"/>
        </w:rPr>
        <w:t xml:space="preserve">SRD-0010  </w:t>
      </w:r>
      <w:r>
        <w:rPr>
          <w:rFonts w:ascii="Arial" w:cs="Arial" w:eastAsia="Arial" w:hAnsi="Arial"/>
          <w:b/>
          <w:bCs/>
          <w:color w:val="1F4E79"/>
          <w:sz w:val="22"/>
          <w:szCs w:val="22"/>
        </w:rPr>
        <w:t xml:space="preserve">Access Audit Trail: </w:t>
      </w:r>
      <w:r>
        <w:rPr>
          <w:rFonts w:ascii="Arial" w:cs="Arial" w:eastAsia="Arial" w:hAnsi="Arial"/>
          <w:color w:val="404040"/>
          <w:sz w:val="22"/>
          <w:szCs w:val="22"/>
        </w:rPr>
        <w:t xml:space="preserve">The system shall maintain a complete, patient-visible log of every access and modification event on a patient’s record, including the identity of the accessor and timestamp, so that patients have full visibility and can identify any unauthorised or unexpected access.</w:t>
      </w:r>
    </w:p>
    <w:p>
      <w:pPr>
        <w:pStyle w:val="ListParagraph"/>
        <w:numPr>
          <w:ilvl w:val="0"/>
          <w:numId w:val="2"/>
        </w:numPr>
        <w:spacing w:after="180"/>
      </w:pPr>
      <w:r>
        <w:rPr>
          <w:rFonts w:ascii="Arial" w:cs="Arial" w:eastAsia="Arial" w:hAnsi="Arial"/>
          <w:b/>
          <w:bCs/>
          <w:color w:val="2E75B6"/>
          <w:sz w:val="22"/>
          <w:szCs w:val="22"/>
        </w:rPr>
        <w:t xml:space="preserve">SRD-0011  </w:t>
      </w:r>
      <w:r>
        <w:rPr>
          <w:rFonts w:ascii="Arial" w:cs="Arial" w:eastAsia="Arial" w:hAnsi="Arial"/>
          <w:b/>
          <w:bCs/>
          <w:color w:val="1F4E79"/>
          <w:sz w:val="22"/>
          <w:szCs w:val="22"/>
        </w:rPr>
        <w:t xml:space="preserve">Proxy and Carer Access: </w:t>
      </w:r>
      <w:r>
        <w:rPr>
          <w:rFonts w:ascii="Arial" w:cs="Arial" w:eastAsia="Arial" w:hAnsi="Arial"/>
          <w:color w:val="404040"/>
          <w:sz w:val="22"/>
          <w:szCs w:val="22"/>
        </w:rPr>
        <w:t xml:space="preserve">The system shall allow a patient to designate one or more authorised proxies — such as a family member or carer — to manage their health record access on their behalf so that elderly or incapacitated patients can still benefit from the solution even if they cannot manage it themselves.</w:t>
      </w:r>
    </w:p>
    <w:p>
      <w:pPr>
        <w:pStyle w:val="Heading2"/>
        <w:spacing w:before="260" w:after="100"/>
      </w:pPr>
      <w:r>
        <w:rPr>
          <w:rFonts w:ascii="Arial" w:cs="Arial" w:eastAsia="Arial" w:hAnsi="Arial"/>
          <w:b/>
          <w:bCs/>
          <w:color w:val="2E75B6"/>
          <w:sz w:val="26"/>
          <w:szCs w:val="26"/>
        </w:rPr>
        <w:t xml:space="preserve">2.3  Integration and Interoperability</w:t>
      </w:r>
    </w:p>
    <w:p>
      <w:pPr>
        <w:pStyle w:val="ListParagraph"/>
        <w:numPr>
          <w:ilvl w:val="0"/>
          <w:numId w:val="2"/>
        </w:numPr>
        <w:spacing w:after="180"/>
      </w:pPr>
      <w:r>
        <w:rPr>
          <w:rFonts w:ascii="Arial" w:cs="Arial" w:eastAsia="Arial" w:hAnsi="Arial"/>
          <w:b/>
          <w:bCs/>
          <w:color w:val="2E75B6"/>
          <w:sz w:val="22"/>
          <w:szCs w:val="22"/>
        </w:rPr>
        <w:t xml:space="preserve">SRD-0012  </w:t>
      </w:r>
      <w:r>
        <w:rPr>
          <w:rFonts w:ascii="Arial" w:cs="Arial" w:eastAsia="Arial" w:hAnsi="Arial"/>
          <w:b/>
          <w:bCs/>
          <w:color w:val="1F4E79"/>
          <w:sz w:val="22"/>
          <w:szCs w:val="22"/>
        </w:rPr>
        <w:t xml:space="preserve">FHIR API Write-Back to Provider EHR: </w:t>
      </w:r>
      <w:r>
        <w:rPr>
          <w:rFonts w:ascii="Arial" w:cs="Arial" w:eastAsia="Arial" w:hAnsi="Arial"/>
          <w:color w:val="404040"/>
          <w:sz w:val="22"/>
          <w:szCs w:val="22"/>
        </w:rPr>
        <w:t xml:space="preserve">The system shall write normalised patient data back into a provider’s existing EHR via standard FHIR APIs so that clinicians can access aggregated patient information within the tools and workflows they already use, without navigating to a separate portal.</w:t>
      </w:r>
    </w:p>
    <w:p>
      <w:pPr>
        <w:pStyle w:val="ListParagraph"/>
        <w:numPr>
          <w:ilvl w:val="0"/>
          <w:numId w:val="2"/>
        </w:numPr>
        <w:spacing w:after="180"/>
      </w:pPr>
      <w:r>
        <w:rPr>
          <w:rFonts w:ascii="Arial" w:cs="Arial" w:eastAsia="Arial" w:hAnsi="Arial"/>
          <w:b/>
          <w:bCs/>
          <w:color w:val="2E75B6"/>
          <w:sz w:val="22"/>
          <w:szCs w:val="22"/>
        </w:rPr>
        <w:t xml:space="preserve">SRD-0013  </w:t>
      </w:r>
      <w:r>
        <w:rPr>
          <w:rFonts w:ascii="Arial" w:cs="Arial" w:eastAsia="Arial" w:hAnsi="Arial"/>
          <w:b/>
          <w:bCs/>
          <w:color w:val="1F4E79"/>
          <w:sz w:val="22"/>
          <w:szCs w:val="22"/>
        </w:rPr>
        <w:t xml:space="preserve">Paper Record Digitisation via OCR: </w:t>
      </w:r>
      <w:r>
        <w:rPr>
          <w:rFonts w:ascii="Arial" w:cs="Arial" w:eastAsia="Arial" w:hAnsi="Arial"/>
          <w:color w:val="404040"/>
          <w:sz w:val="22"/>
          <w:szCs w:val="22"/>
        </w:rPr>
        <w:t xml:space="preserve">The system shall accept scanned or photographed paper health documents and extract structured data using OCR and AI parsing so that patients whose providers still use paper-based records are not excluded from the platform.</w:t>
      </w:r>
    </w:p>
    <w:p>
      <w:pPr>
        <w:pStyle w:val="ListParagraph"/>
        <w:numPr>
          <w:ilvl w:val="0"/>
          <w:numId w:val="2"/>
        </w:numPr>
        <w:spacing w:after="180"/>
      </w:pPr>
      <w:r>
        <w:rPr>
          <w:rFonts w:ascii="Arial" w:cs="Arial" w:eastAsia="Arial" w:hAnsi="Arial"/>
          <w:b/>
          <w:bCs/>
          <w:color w:val="2E75B6"/>
          <w:sz w:val="22"/>
          <w:szCs w:val="22"/>
        </w:rPr>
        <w:t xml:space="preserve">SRD-0014  </w:t>
      </w:r>
      <w:r>
        <w:rPr>
          <w:rFonts w:ascii="Arial" w:cs="Arial" w:eastAsia="Arial" w:hAnsi="Arial"/>
          <w:b/>
          <w:bCs/>
          <w:color w:val="1F4E79"/>
          <w:sz w:val="22"/>
          <w:szCs w:val="22"/>
        </w:rPr>
        <w:t xml:space="preserve">Proprietary Health Platform Integration: </w:t>
      </w:r>
      <w:r>
        <w:rPr>
          <w:rFonts w:ascii="Arial" w:cs="Arial" w:eastAsia="Arial" w:hAnsi="Arial"/>
          <w:color w:val="404040"/>
          <w:sz w:val="22"/>
          <w:szCs w:val="22"/>
        </w:rPr>
        <w:t xml:space="preserve">The system shall support data ingestion from and export to proprietary consumer health platforms using SMART on FHIR so that health data already captured on patients’ personal devices can be incorporated into the longitudinal record without re-entry.</w:t>
      </w:r>
    </w:p>
    <w:p>
      <w:pPr>
        <w:pStyle w:val="Heading1"/>
        <w:spacing w:before="360" w:after="140"/>
      </w:pPr>
      <w:r>
        <w:rPr>
          <w:rFonts w:ascii="Arial" w:cs="Arial" w:eastAsia="Arial" w:hAnsi="Arial"/>
          <w:b/>
          <w:bCs/>
          <w:color w:val="1F4E79"/>
          <w:sz w:val="32"/>
          <w:szCs w:val="32"/>
        </w:rPr>
        <w:t xml:space="preserve">3. Non-Functional Requirements</w:t>
      </w:r>
    </w:p>
    <w:p>
      <w:pPr>
        <w:pStyle w:val="Heading2"/>
        <w:spacing w:before="260" w:after="100"/>
      </w:pPr>
      <w:r>
        <w:rPr>
          <w:rFonts w:ascii="Arial" w:cs="Arial" w:eastAsia="Arial" w:hAnsi="Arial"/>
          <w:b/>
          <w:bCs/>
          <w:color w:val="2E75B6"/>
          <w:sz w:val="26"/>
          <w:szCs w:val="26"/>
        </w:rPr>
        <w:t xml:space="preserve">3.1  Security</w:t>
      </w:r>
    </w:p>
    <w:p>
      <w:pPr>
        <w:pStyle w:val="ListParagraph"/>
        <w:numPr>
          <w:ilvl w:val="0"/>
          <w:numId w:val="2"/>
        </w:numPr>
        <w:spacing w:after="180"/>
      </w:pPr>
      <w:r>
        <w:rPr>
          <w:rFonts w:ascii="Arial" w:cs="Arial" w:eastAsia="Arial" w:hAnsi="Arial"/>
          <w:b/>
          <w:bCs/>
          <w:color w:val="2E75B6"/>
          <w:sz w:val="22"/>
          <w:szCs w:val="22"/>
        </w:rPr>
        <w:t xml:space="preserve">SRD-0015  </w:t>
      </w:r>
      <w:r>
        <w:rPr>
          <w:rFonts w:ascii="Arial" w:cs="Arial" w:eastAsia="Arial" w:hAnsi="Arial"/>
          <w:b/>
          <w:bCs/>
          <w:color w:val="1F4E79"/>
          <w:sz w:val="22"/>
          <w:szCs w:val="22"/>
        </w:rPr>
        <w:t xml:space="preserve">HIPAA Technical Safeguards Compliance: </w:t>
      </w:r>
      <w:r>
        <w:rPr>
          <w:rFonts w:ascii="Arial" w:cs="Arial" w:eastAsia="Arial" w:hAnsi="Arial"/>
          <w:color w:val="404040"/>
          <w:sz w:val="22"/>
          <w:szCs w:val="22"/>
        </w:rPr>
        <w:t xml:space="preserve">The system shall implement all technical safeguards required by the HIPAA Security Rule so that all protected health information (PHI) is handled in full regulatory compliance and HIPAA cannot be used as a justification for withholding patient records.</w:t>
      </w:r>
    </w:p>
    <w:p>
      <w:pPr>
        <w:pStyle w:val="ListParagraph"/>
        <w:numPr>
          <w:ilvl w:val="0"/>
          <w:numId w:val="2"/>
        </w:numPr>
        <w:spacing w:after="180"/>
      </w:pPr>
      <w:r>
        <w:rPr>
          <w:rFonts w:ascii="Arial" w:cs="Arial" w:eastAsia="Arial" w:hAnsi="Arial"/>
          <w:b/>
          <w:bCs/>
          <w:color w:val="2E75B6"/>
          <w:sz w:val="22"/>
          <w:szCs w:val="22"/>
        </w:rPr>
        <w:t xml:space="preserve">SRD-0016  </w:t>
      </w:r>
      <w:r>
        <w:rPr>
          <w:rFonts w:ascii="Arial" w:cs="Arial" w:eastAsia="Arial" w:hAnsi="Arial"/>
          <w:b/>
          <w:bCs/>
          <w:color w:val="1F4E79"/>
          <w:sz w:val="22"/>
          <w:szCs w:val="22"/>
        </w:rPr>
        <w:t xml:space="preserve">21st Century Cures Act — Information-Blocking Compliance: </w:t>
      </w:r>
      <w:r>
        <w:rPr>
          <w:rFonts w:ascii="Arial" w:cs="Arial" w:eastAsia="Arial" w:hAnsi="Arial"/>
          <w:color w:val="404040"/>
          <w:sz w:val="22"/>
          <w:szCs w:val="22"/>
        </w:rPr>
        <w:t xml:space="preserve">The system shall comply with the information-blocking provisions of the 21st Century Cures Act so that no participating entity can use organisational or technical barriers to deny patients or providers timely access to health records.</w:t>
      </w:r>
    </w:p>
    <w:p>
      <w:pPr>
        <w:pStyle w:val="ListParagraph"/>
        <w:numPr>
          <w:ilvl w:val="0"/>
          <w:numId w:val="2"/>
        </w:numPr>
        <w:spacing w:after="180"/>
      </w:pPr>
      <w:r>
        <w:rPr>
          <w:rFonts w:ascii="Arial" w:cs="Arial" w:eastAsia="Arial" w:hAnsi="Arial"/>
          <w:b/>
          <w:bCs/>
          <w:color w:val="2E75B6"/>
          <w:sz w:val="22"/>
          <w:szCs w:val="22"/>
        </w:rPr>
        <w:t xml:space="preserve">SRD-0017  </w:t>
      </w:r>
      <w:r>
        <w:rPr>
          <w:rFonts w:ascii="Arial" w:cs="Arial" w:eastAsia="Arial" w:hAnsi="Arial"/>
          <w:b/>
          <w:bCs/>
          <w:color w:val="1F4E79"/>
          <w:sz w:val="22"/>
          <w:szCs w:val="22"/>
        </w:rPr>
        <w:t xml:space="preserve">End-to-End Encryption of Patient Data: </w:t>
      </w:r>
      <w:r>
        <w:rPr>
          <w:rFonts w:ascii="Arial" w:cs="Arial" w:eastAsia="Arial" w:hAnsi="Arial"/>
          <w:color w:val="404040"/>
          <w:sz w:val="22"/>
          <w:szCs w:val="22"/>
        </w:rPr>
        <w:t xml:space="preserve">The system shall encrypt all patient health data in transit using TLS 1.2 or higher and at rest using AES-256 or equivalent so that PHI cannot be intercepted or accessed by unauthorised parties at any point in the data lifecycle.</w:t>
      </w:r>
    </w:p>
    <w:p>
      <w:pPr>
        <w:pStyle w:val="ListParagraph"/>
        <w:numPr>
          <w:ilvl w:val="0"/>
          <w:numId w:val="2"/>
        </w:numPr>
        <w:spacing w:after="180"/>
      </w:pPr>
      <w:r>
        <w:rPr>
          <w:rFonts w:ascii="Arial" w:cs="Arial" w:eastAsia="Arial" w:hAnsi="Arial"/>
          <w:b/>
          <w:bCs/>
          <w:color w:val="2E75B6"/>
          <w:sz w:val="22"/>
          <w:szCs w:val="22"/>
        </w:rPr>
        <w:t xml:space="preserve">SRD-0018  </w:t>
      </w:r>
      <w:r>
        <w:rPr>
          <w:rFonts w:ascii="Arial" w:cs="Arial" w:eastAsia="Arial" w:hAnsi="Arial"/>
          <w:b/>
          <w:bCs/>
          <w:color w:val="1F4E79"/>
          <w:sz w:val="22"/>
          <w:szCs w:val="22"/>
        </w:rPr>
        <w:t xml:space="preserve">Tamper-Evident Audit Logging: </w:t>
      </w:r>
      <w:r>
        <w:rPr>
          <w:rFonts w:ascii="Arial" w:cs="Arial" w:eastAsia="Arial" w:hAnsi="Arial"/>
          <w:color w:val="404040"/>
          <w:sz w:val="22"/>
          <w:szCs w:val="22"/>
        </w:rPr>
        <w:t xml:space="preserve">The system shall maintain a tamper-evident audit log of all data access, sharing, and modification events so that administrators and patients can verify the integrity and provenance of every change made to the health record.</w:t>
      </w:r>
    </w:p>
    <w:p>
      <w:pPr>
        <w:pStyle w:val="Heading2"/>
        <w:spacing w:before="260" w:after="100"/>
      </w:pPr>
      <w:r>
        <w:rPr>
          <w:rFonts w:ascii="Arial" w:cs="Arial" w:eastAsia="Arial" w:hAnsi="Arial"/>
          <w:b/>
          <w:bCs/>
          <w:color w:val="2E75B6"/>
          <w:sz w:val="26"/>
          <w:szCs w:val="26"/>
        </w:rPr>
        <w:t xml:space="preserve">3.2  Interoperability</w:t>
      </w:r>
    </w:p>
    <w:p>
      <w:pPr>
        <w:pStyle w:val="ListParagraph"/>
        <w:numPr>
          <w:ilvl w:val="0"/>
          <w:numId w:val="2"/>
        </w:numPr>
        <w:spacing w:after="180"/>
      </w:pPr>
      <w:r>
        <w:rPr>
          <w:rFonts w:ascii="Arial" w:cs="Arial" w:eastAsia="Arial" w:hAnsi="Arial"/>
          <w:b/>
          <w:bCs/>
          <w:color w:val="2E75B6"/>
          <w:sz w:val="22"/>
          <w:szCs w:val="22"/>
        </w:rPr>
        <w:t xml:space="preserve">SRD-0019  </w:t>
      </w:r>
      <w:r>
        <w:rPr>
          <w:rFonts w:ascii="Arial" w:cs="Arial" w:eastAsia="Arial" w:hAnsi="Arial"/>
          <w:b/>
          <w:bCs/>
          <w:color w:val="1F4E79"/>
          <w:sz w:val="22"/>
          <w:szCs w:val="22"/>
        </w:rPr>
        <w:t xml:space="preserve">HL7 FHIR R4 API Compliance: </w:t>
      </w:r>
      <w:r>
        <w:rPr>
          <w:rFonts w:ascii="Arial" w:cs="Arial" w:eastAsia="Arial" w:hAnsi="Arial"/>
          <w:color w:val="404040"/>
          <w:sz w:val="22"/>
          <w:szCs w:val="22"/>
        </w:rPr>
        <w:t xml:space="preserve">The system shall expose and consume HL7 FHIR R4 APIs for all structured health data exchange so that it can interoperate with any FHIR-compliant EHR and participate in national health information exchange networks without bespoke bilateral agreements.</w:t>
      </w:r>
    </w:p>
    <w:p>
      <w:pPr>
        <w:pStyle w:val="ListParagraph"/>
        <w:numPr>
          <w:ilvl w:val="0"/>
          <w:numId w:val="2"/>
        </w:numPr>
        <w:spacing w:after="180"/>
      </w:pPr>
      <w:r>
        <w:rPr>
          <w:rFonts w:ascii="Arial" w:cs="Arial" w:eastAsia="Arial" w:hAnsi="Arial"/>
          <w:b/>
          <w:bCs/>
          <w:color w:val="2E75B6"/>
          <w:sz w:val="22"/>
          <w:szCs w:val="22"/>
        </w:rPr>
        <w:t xml:space="preserve">SRD-0020  </w:t>
      </w:r>
      <w:r>
        <w:rPr>
          <w:rFonts w:ascii="Arial" w:cs="Arial" w:eastAsia="Arial" w:hAnsi="Arial"/>
          <w:b/>
          <w:bCs/>
          <w:color w:val="1F4E79"/>
          <w:sz w:val="22"/>
          <w:szCs w:val="22"/>
        </w:rPr>
        <w:t xml:space="preserve">eHealth Exchange Network Participation: </w:t>
      </w:r>
      <w:r>
        <w:rPr>
          <w:rFonts w:ascii="Arial" w:cs="Arial" w:eastAsia="Arial" w:hAnsi="Arial"/>
          <w:color w:val="404040"/>
          <w:sz w:val="22"/>
          <w:szCs w:val="22"/>
        </w:rPr>
        <w:t xml:space="preserve">The system shall support integration with the eHealth Exchange network so that patient records can be retrieved from and shared with the broad ecosystem of participating public and private health systems.</w:t>
      </w:r>
    </w:p>
    <w:p>
      <w:pPr>
        <w:pStyle w:val="ListParagraph"/>
        <w:numPr>
          <w:ilvl w:val="0"/>
          <w:numId w:val="2"/>
        </w:numPr>
        <w:spacing w:after="180"/>
      </w:pPr>
      <w:r>
        <w:rPr>
          <w:rFonts w:ascii="Arial" w:cs="Arial" w:eastAsia="Arial" w:hAnsi="Arial"/>
          <w:b/>
          <w:bCs/>
          <w:color w:val="2E75B6"/>
          <w:sz w:val="22"/>
          <w:szCs w:val="22"/>
        </w:rPr>
        <w:t xml:space="preserve">SRD-0021  </w:t>
      </w:r>
      <w:r>
        <w:rPr>
          <w:rFonts w:ascii="Arial" w:cs="Arial" w:eastAsia="Arial" w:hAnsi="Arial"/>
          <w:b/>
          <w:bCs/>
          <w:color w:val="1F4E79"/>
          <w:sz w:val="22"/>
          <w:szCs w:val="22"/>
        </w:rPr>
        <w:t xml:space="preserve">Legacy and Non-FHIR EHR Adapter Framework: </w:t>
      </w:r>
      <w:r>
        <w:rPr>
          <w:rFonts w:ascii="Arial" w:cs="Arial" w:eastAsia="Arial" w:hAnsi="Arial"/>
          <w:color w:val="404040"/>
          <w:sz w:val="22"/>
          <w:szCs w:val="22"/>
        </w:rPr>
        <w:t xml:space="preserve">The system shall provide an extensible adapter framework for connecting to proprietary and non-FHIR EHR systems so that healthcare organisations that have not yet adopted modern interoperability standards can participate without replacing their existing infrastructure.</w:t>
      </w:r>
    </w:p>
    <w:p>
      <w:pPr>
        <w:pStyle w:val="ListParagraph"/>
        <w:numPr>
          <w:ilvl w:val="0"/>
          <w:numId w:val="2"/>
        </w:numPr>
        <w:spacing w:after="180"/>
      </w:pPr>
      <w:r>
        <w:rPr>
          <w:rFonts w:ascii="Arial" w:cs="Arial" w:eastAsia="Arial" w:hAnsi="Arial"/>
          <w:b/>
          <w:bCs/>
          <w:color w:val="2E75B6"/>
          <w:sz w:val="22"/>
          <w:szCs w:val="22"/>
        </w:rPr>
        <w:t xml:space="preserve">SRD-0022  </w:t>
      </w:r>
      <w:r>
        <w:rPr>
          <w:rFonts w:ascii="Arial" w:cs="Arial" w:eastAsia="Arial" w:hAnsi="Arial"/>
          <w:b/>
          <w:bCs/>
          <w:color w:val="1F4E79"/>
          <w:sz w:val="22"/>
          <w:szCs w:val="22"/>
        </w:rPr>
        <w:t xml:space="preserve">Proprietary Health Platform Data Exchange: </w:t>
      </w:r>
      <w:r>
        <w:rPr>
          <w:rFonts w:ascii="Arial" w:cs="Arial" w:eastAsia="Arial" w:hAnsi="Arial"/>
          <w:color w:val="404040"/>
          <w:sz w:val="22"/>
          <w:szCs w:val="22"/>
        </w:rPr>
        <w:t xml:space="preserve">The system shall exchange patient health data with proprietary consumer health platforms using published interoperability standards so that data already held in those platforms can contribute to the patient’s longitudinal record and providers can benefit from that additional context.</w:t>
      </w:r>
    </w:p>
    <w:p>
      <w:pPr>
        <w:pStyle w:val="Heading2"/>
        <w:spacing w:before="260" w:after="100"/>
      </w:pPr>
      <w:r>
        <w:rPr>
          <w:rFonts w:ascii="Arial" w:cs="Arial" w:eastAsia="Arial" w:hAnsi="Arial"/>
          <w:b/>
          <w:bCs/>
          <w:color w:val="2E75B6"/>
          <w:sz w:val="26"/>
          <w:szCs w:val="26"/>
        </w:rPr>
        <w:t xml:space="preserve">3.3  Performance</w:t>
      </w:r>
    </w:p>
    <w:p>
      <w:pPr>
        <w:pStyle w:val="ListParagraph"/>
        <w:numPr>
          <w:ilvl w:val="0"/>
          <w:numId w:val="2"/>
        </w:numPr>
        <w:spacing w:after="180"/>
      </w:pPr>
      <w:r>
        <w:rPr>
          <w:rFonts w:ascii="Arial" w:cs="Arial" w:eastAsia="Arial" w:hAnsi="Arial"/>
          <w:b/>
          <w:bCs/>
          <w:color w:val="2E75B6"/>
          <w:sz w:val="22"/>
          <w:szCs w:val="22"/>
        </w:rPr>
        <w:t xml:space="preserve">SRD-0023  </w:t>
      </w:r>
      <w:r>
        <w:rPr>
          <w:rFonts w:ascii="Arial" w:cs="Arial" w:eastAsia="Arial" w:hAnsi="Arial"/>
          <w:b/>
          <w:bCs/>
          <w:color w:val="1F4E79"/>
          <w:sz w:val="22"/>
          <w:szCs w:val="22"/>
        </w:rPr>
        <w:t xml:space="preserve">Record Retrieval Response Time: </w:t>
      </w:r>
      <w:r>
        <w:rPr>
          <w:rFonts w:ascii="Arial" w:cs="Arial" w:eastAsia="Arial" w:hAnsi="Arial"/>
          <w:color w:val="404040"/>
          <w:sz w:val="22"/>
          <w:szCs w:val="22"/>
        </w:rPr>
        <w:t xml:space="preserve">The system shall return a consolidated patient summary within 10 seconds of an authorised query so that clinicians can review a patient’s complete history without disruption to the care encounter.</w:t>
      </w:r>
    </w:p>
    <w:p>
      <w:pPr>
        <w:pStyle w:val="ListParagraph"/>
        <w:numPr>
          <w:ilvl w:val="0"/>
          <w:numId w:val="2"/>
        </w:numPr>
        <w:spacing w:after="180"/>
      </w:pPr>
      <w:r>
        <w:rPr>
          <w:rFonts w:ascii="Arial" w:cs="Arial" w:eastAsia="Arial" w:hAnsi="Arial"/>
          <w:b/>
          <w:bCs/>
          <w:color w:val="2E75B6"/>
          <w:sz w:val="22"/>
          <w:szCs w:val="22"/>
        </w:rPr>
        <w:t xml:space="preserve">SRD-0024  </w:t>
      </w:r>
      <w:r>
        <w:rPr>
          <w:rFonts w:ascii="Arial" w:cs="Arial" w:eastAsia="Arial" w:hAnsi="Arial"/>
          <w:b/>
          <w:bCs/>
          <w:color w:val="1F4E79"/>
          <w:sz w:val="22"/>
          <w:szCs w:val="22"/>
        </w:rPr>
        <w:t xml:space="preserve">Platform Availability: </w:t>
      </w:r>
      <w:r>
        <w:rPr>
          <w:rFonts w:ascii="Arial" w:cs="Arial" w:eastAsia="Arial" w:hAnsi="Arial"/>
          <w:color w:val="404040"/>
          <w:sz w:val="22"/>
          <w:szCs w:val="22"/>
        </w:rPr>
        <w:t xml:space="preserve">The system shall maintain a minimum availability of 99.9% so that patient records are accessible at all times, including during urgent and emergency care situations where record access is clinically time-critical.</w:t>
      </w:r>
    </w:p>
    <w:p>
      <w:pPr>
        <w:pStyle w:val="Heading2"/>
        <w:spacing w:before="260" w:after="100"/>
      </w:pPr>
      <w:r>
        <w:rPr>
          <w:rFonts w:ascii="Arial" w:cs="Arial" w:eastAsia="Arial" w:hAnsi="Arial"/>
          <w:b/>
          <w:bCs/>
          <w:color w:val="2E75B6"/>
          <w:sz w:val="26"/>
          <w:szCs w:val="26"/>
        </w:rPr>
        <w:t xml:space="preserve">3.4  Usability</w:t>
      </w:r>
    </w:p>
    <w:p>
      <w:pPr>
        <w:pStyle w:val="ListParagraph"/>
        <w:numPr>
          <w:ilvl w:val="0"/>
          <w:numId w:val="2"/>
        </w:numPr>
        <w:spacing w:after="180"/>
      </w:pPr>
      <w:r>
        <w:rPr>
          <w:rFonts w:ascii="Arial" w:cs="Arial" w:eastAsia="Arial" w:hAnsi="Arial"/>
          <w:b/>
          <w:bCs/>
          <w:color w:val="2E75B6"/>
          <w:sz w:val="22"/>
          <w:szCs w:val="22"/>
        </w:rPr>
        <w:t xml:space="preserve">SRD-0025  </w:t>
      </w:r>
      <w:r>
        <w:rPr>
          <w:rFonts w:ascii="Arial" w:cs="Arial" w:eastAsia="Arial" w:hAnsi="Arial"/>
          <w:b/>
          <w:bCs/>
          <w:color w:val="1F4E79"/>
          <w:sz w:val="22"/>
          <w:szCs w:val="22"/>
        </w:rPr>
        <w:t xml:space="preserve">Patient Self-Service Onboarding: </w:t>
      </w:r>
      <w:r>
        <w:rPr>
          <w:rFonts w:ascii="Arial" w:cs="Arial" w:eastAsia="Arial" w:hAnsi="Arial"/>
          <w:color w:val="404040"/>
          <w:sz w:val="22"/>
          <w:szCs w:val="22"/>
        </w:rPr>
        <w:t xml:space="preserve">The system shall allow a patient with no prior technical experience to complete registration, link at least one provider, and view their consolidated record within 15 minutes so that the solution is accessible to users of all ages and digital literacy levels, not only those who are technically proficient.</w:t>
      </w:r>
    </w:p>
    <w:p>
      <w:pPr>
        <w:pStyle w:val="ListParagraph"/>
        <w:numPr>
          <w:ilvl w:val="0"/>
          <w:numId w:val="2"/>
        </w:numPr>
        <w:spacing w:after="180"/>
      </w:pPr>
      <w:r>
        <w:rPr>
          <w:rFonts w:ascii="Arial" w:cs="Arial" w:eastAsia="Arial" w:hAnsi="Arial"/>
          <w:b/>
          <w:bCs/>
          <w:color w:val="2E75B6"/>
          <w:sz w:val="22"/>
          <w:szCs w:val="22"/>
        </w:rPr>
        <w:t xml:space="preserve">SRD-0026  </w:t>
      </w:r>
      <w:r>
        <w:rPr>
          <w:rFonts w:ascii="Arial" w:cs="Arial" w:eastAsia="Arial" w:hAnsi="Arial"/>
          <w:b/>
          <w:bCs/>
          <w:color w:val="1F4E79"/>
          <w:sz w:val="22"/>
          <w:szCs w:val="22"/>
        </w:rPr>
        <w:t xml:space="preserve">Clinician Workflow Integration: </w:t>
      </w:r>
      <w:r>
        <w:rPr>
          <w:rFonts w:ascii="Arial" w:cs="Arial" w:eastAsia="Arial" w:hAnsi="Arial"/>
          <w:color w:val="404040"/>
          <w:sz w:val="22"/>
          <w:szCs w:val="22"/>
        </w:rPr>
        <w:t xml:space="preserve">The system shall surface patient record data within the clinician’s existing EHR interface rather than requiring navigation to a separate portal so that provider workflow disruption is minimised and the barrier to adoption is reduced.</w:t>
      </w:r>
    </w:p>
    <w:p>
      <w:pPr>
        <w:pStyle w:val="ListParagraph"/>
        <w:numPr>
          <w:ilvl w:val="0"/>
          <w:numId w:val="2"/>
        </w:numPr>
        <w:spacing w:after="180"/>
      </w:pPr>
      <w:r>
        <w:rPr>
          <w:rFonts w:ascii="Arial" w:cs="Arial" w:eastAsia="Arial" w:hAnsi="Arial"/>
          <w:b/>
          <w:bCs/>
          <w:color w:val="2E75B6"/>
          <w:sz w:val="22"/>
          <w:szCs w:val="22"/>
        </w:rPr>
        <w:t xml:space="preserve">SRD-0027  </w:t>
      </w:r>
      <w:r>
        <w:rPr>
          <w:rFonts w:ascii="Arial" w:cs="Arial" w:eastAsia="Arial" w:hAnsi="Arial"/>
          <w:b/>
          <w:bCs/>
          <w:color w:val="1F4E79"/>
          <w:sz w:val="22"/>
          <w:szCs w:val="22"/>
        </w:rPr>
        <w:t xml:space="preserve">Mobile Patient Interface: </w:t>
      </w:r>
      <w:r>
        <w:rPr>
          <w:rFonts w:ascii="Arial" w:cs="Arial" w:eastAsia="Arial" w:hAnsi="Arial"/>
          <w:color w:val="404040"/>
          <w:sz w:val="22"/>
          <w:szCs w:val="22"/>
        </w:rPr>
        <w:t xml:space="preserve">The system shall provide a fully functional, mobile-optimised patient interface for iOS and Android devices so that patients can manage consent decisions and access their health record from personal devices at any time and in any location.</w:t>
      </w:r>
    </w:p>
    <w:p>
      <w:pPr>
        <w:pStyle w:val="ListParagraph"/>
        <w:numPr>
          <w:ilvl w:val="0"/>
          <w:numId w:val="2"/>
        </w:numPr>
        <w:spacing w:after="180"/>
      </w:pPr>
      <w:r>
        <w:rPr>
          <w:rFonts w:ascii="Arial" w:cs="Arial" w:eastAsia="Arial" w:hAnsi="Arial"/>
          <w:b/>
          <w:bCs/>
          <w:color w:val="2E75B6"/>
          <w:sz w:val="22"/>
          <w:szCs w:val="22"/>
        </w:rPr>
        <w:t xml:space="preserve">SRD-0028  </w:t>
      </w:r>
      <w:r>
        <w:rPr>
          <w:rFonts w:ascii="Arial" w:cs="Arial" w:eastAsia="Arial" w:hAnsi="Arial"/>
          <w:b/>
          <w:bCs/>
          <w:color w:val="1F4E79"/>
          <w:sz w:val="22"/>
          <w:szCs w:val="22"/>
        </w:rPr>
        <w:t xml:space="preserve">Accessibility Compliance: </w:t>
      </w:r>
      <w:r>
        <w:rPr>
          <w:rFonts w:ascii="Arial" w:cs="Arial" w:eastAsia="Arial" w:hAnsi="Arial"/>
          <w:color w:val="404040"/>
          <w:sz w:val="22"/>
          <w:szCs w:val="22"/>
        </w:rPr>
        <w:t xml:space="preserve">The system shall conform to WCAG 2.1 Level AA accessibility standards so that patients with visual, motor, or cognitive impairments can independently access and manage their health information without requiring assistance.</w:t>
      </w:r>
    </w:p>
    <w:p>
      <w:pPr>
        <w:spacing w:after="160"/>
      </w:pPr>
    </w:p>
    <w:p>
      <w:pPr>
        <w:pStyle w:val="Heading1"/>
        <w:spacing w:before="360" w:after="140"/>
      </w:pPr>
      <w:r>
        <w:rPr>
          <w:rFonts w:ascii="Arial" w:cs="Arial" w:eastAsia="Arial" w:hAnsi="Arial"/>
          <w:b/>
          <w:bCs/>
          <w:color w:val="1F4E79"/>
          <w:sz w:val="32"/>
          <w:szCs w:val="32"/>
        </w:rPr>
        <w:t xml:space="preserve">4. Requirements Traceability</w:t>
      </w:r>
    </w:p>
    <w:p>
      <w:pPr>
        <w:spacing w:after="160"/>
      </w:pPr>
      <w:r>
        <w:rPr>
          <w:rFonts w:ascii="Arial" w:cs="Arial" w:eastAsia="Arial" w:hAnsi="Arial"/>
          <w:color w:val="404040"/>
          <w:sz w:val="22"/>
          <w:szCs w:val="22"/>
        </w:rPr>
        <w:t xml:space="preserve">The table below maps each system requirement to the user requirement(s) from which it was derived. Requirements without a direct user requirement antecedent address technical, regulatory, or quality constraints identified during analysis of the stakeholder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9D9EA" w:sz="1"/>
              <w:left w:val="single" w:color="C9D9EA" w:sz="1"/>
              <w:bottom w:val="single" w:color="C9D9EA" w:sz="1"/>
              <w:right w:val="single" w:color="C9D9E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SRD ID</w:t>
            </w:r>
          </w:p>
        </w:tc>
        <w:tc>
          <w:tcPr>
            <w:tcW w:type="dxa" w:w="3200"/>
            <w:tcBorders>
              <w:top w:val="single" w:color="C9D9EA" w:sz="1"/>
              <w:left w:val="single" w:color="C9D9EA" w:sz="1"/>
              <w:bottom w:val="single" w:color="C9D9EA" w:sz="1"/>
              <w:right w:val="single" w:color="C9D9E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Traces To</w:t>
            </w:r>
          </w:p>
        </w:tc>
        <w:tc>
          <w:tcPr>
            <w:tcW w:type="dxa" w:w="4760"/>
            <w:tcBorders>
              <w:top w:val="single" w:color="C9D9EA" w:sz="1"/>
              <w:left w:val="single" w:color="C9D9EA" w:sz="1"/>
              <w:bottom w:val="single" w:color="C9D9EA" w:sz="1"/>
              <w:right w:val="single" w:color="C9D9E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SRD-0001</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UR-001, UR-002, UR-003</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Patient needs single-view access across all providers on any device</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SRD-0002</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UR-001, UR-003</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aggregation removes manual patient effort to collate records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SRD-0003</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UR-014, UR-017</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Push delivery keeps all authorised clinicians current automatically</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SRD-0004</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UR-013, UR-016</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Pull query gives clinicians on-demand access to complete history</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SRD-0005</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UR-006, UR-007, UR-008</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Patients must be able to grant, adjust, and revoke access at any time</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SRD-0006</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UR-007</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Rapid check-in authorisation avoids form-filling at point of care</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SRD-0007</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UR-004, UR-005</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Patient-contributed data fills gaps not yet captured by providers</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SRD-0008</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UR-001, UR-016</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 normalisation resolves incompatible field formats across EHRs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SRD-0009</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UR-015, UR-018</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FHIR write-back lets clinicians stay in their existing EHR workflow</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SRD-0010</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UR-019</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OCR/AI digitisation includes patients at providers still using paper</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SRD-0011</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UR-011</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Printed summaries serve providers without digital connectivity</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SRD-0012</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UR-021</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SMART on FHIR ingestion leverages health data on personal devices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SRD-0013</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UR-009</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Audit log gives patients visibility into who accessed their record</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SRD-0014</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UR-012</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Proxy access with consent supports elderly and incapacitated patients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SRD-0015</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UR-020</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HIPAA and Cures Act compliance is a prerequisite for facility adoption</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SRD-0016</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UR-020</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Information-blocking provisions mandate open data sharing by providers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SRD-0017</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UR-016</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Encryption protects PHI in transit and at rest</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SRD-0018</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UR-009</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Tamper-evident logging supports auditability and patient trust</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SRD-0019</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UR-021</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FHIR R4 APIs enable interoperability with proprietary EHR systems</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SRD-0020</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UR-021</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eHealth Exchange participation widens the network of reachable providers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SRD-0021</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UR-018, UR-021</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Adapter framework allows legacy and non-FHIR EHRs to participate</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SRD-0022</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UR-022</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Proprietary health platform integration leverages existing patient data</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SRD-0023</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UR-013, UR-016</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10-second retrieval keeps clinical workflow uninterrupted</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SRD-0024</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UR-002, UR-013</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99.9% uptime ensures records are available in emergencies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SRD-0025</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UR-010</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15-minute onboarding makes the solution accessible to all literacy levels</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SRD-0026</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UR-015</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EHR-embedded access removes the need for clinicians to learn new tools</w:t>
            </w:r>
          </w:p>
        </w:tc>
      </w:tr>
      <w:tr>
        <w:tc>
          <w:tcPr>
            <w:tcW w:type="dxa" w:w="14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SRD-0027</w:t>
            </w:r>
          </w:p>
        </w:tc>
        <w:tc>
          <w:tcPr>
            <w:tcW w:type="dxa" w:w="3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UR-002, UR-010</w:t>
            </w:r>
          </w:p>
        </w:tc>
        <w:tc>
          <w:tcPr>
            <w:tcW w:type="dxa" w:w="476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Mobile interface gives patients on-the-go access to their records</w:t>
            </w:r>
          </w:p>
        </w:tc>
      </w:tr>
      <w:tr>
        <w:tc>
          <w:tcPr>
            <w:tcW w:type="dxa" w:w="1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SRD-0028</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UR-010, UR-012</w:t>
            </w:r>
          </w:p>
        </w:tc>
        <w:tc>
          <w:tcPr>
            <w:tcW w:type="dxa" w:w="4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WCAG 2.1 AA compliance ensures access for users with disabilities</w:t>
            </w:r>
          </w:p>
        </w:tc>
      </w:tr>
    </w:tbl>
    <w:p>
      <w:pPr>
        <w:spacing w:after="160"/>
      </w:pPr>
    </w:p>
    <w:p>
      <w:pPr>
        <w:pBdr>
          <w:top w:val="single" w:color="CCCCCC" w:sz="4" w:space="1"/>
        </w:pBdr>
        <w:spacing w:before="300"/>
      </w:pPr>
      <w:r>
        <w:rPr>
          <w:rFonts w:ascii="Arial" w:cs="Arial" w:eastAsia="Arial" w:hAnsi="Arial"/>
          <w:i/>
          <w:iCs/>
          <w:color w:val="999999"/>
          <w:sz w:val="18"/>
          <w:szCs w:val="18"/>
        </w:rPr>
        <w:t xml:space="preserve">This document was derived from stakeholder workshop notes and the User Requirements Document v1.0. Requirements should be validated with legal, clinical, and technical subject-matter experts prior to implementation. Proprietary system names have been withheld from this document to avoid trademark and copyright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2026-03-06T21:51:26.923Z</dcterms:created>
  <dcterms:modified xsi:type="dcterms:W3CDTF">2026-03-06T21:51:26.924Z</dcterms:modified>
</cp:coreProperties>
</file>

<file path=docProps/custom.xml><?xml version="1.0" encoding="utf-8"?>
<Properties xmlns="http://schemas.openxmlformats.org/officeDocument/2006/custom-properties" xmlns:vt="http://schemas.openxmlformats.org/officeDocument/2006/docPropsVTypes"/>
</file>