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Patient-Controlled Health Information Exchange</w:t>
      </w:r>
    </w:p>
    <w:p>
      <w:pPr>
        <w:spacing w:after="80"/>
        <w:jc w:val="center"/>
      </w:pPr>
      <w:r>
        <w:rPr>
          <w:rFonts w:ascii="Arial" w:cs="Arial" w:eastAsia="Arial" w:hAnsi="Arial"/>
          <w:color w:val="767676"/>
          <w:sz w:val="28"/>
          <w:szCs w:val="28"/>
        </w:rPr>
        <w:t xml:space="preserve">User Requirements Document</w:t>
      </w:r>
    </w:p>
    <w:p>
      <w:pPr>
        <w:pBdr>
          <w:bottom w:val="single" w:color="2E75B6" w:sz="8" w:space="1"/>
        </w:pBdr>
        <w:spacing w:after="400"/>
        <w:jc w:val="center"/>
      </w:pPr>
      <w:r>
        <w:rPr>
          <w:rFonts w:ascii="Arial" w:cs="Arial" w:eastAsia="Arial" w:hAnsi="Arial"/>
          <w:i/>
          <w:iCs/>
          <w:color w:val="AAAAAA"/>
          <w:sz w:val="20"/>
          <w:szCs w:val="20"/>
        </w:rPr>
        <w:t xml:space="preserve">Version 1.0  |  Derived from Stakeholder Workshop Notes</w:t>
      </w:r>
    </w:p>
    <w:p>
      <w:pPr>
        <w:pStyle w:val="Heading1"/>
        <w:spacing w:before="360" w:after="140"/>
      </w:pPr>
      <w:r>
        <w:rPr>
          <w:rFonts w:ascii="Arial" w:cs="Arial" w:eastAsia="Arial" w:hAnsi="Arial"/>
          <w:b/>
          <w:bCs/>
          <w:color w:val="1F4E79"/>
          <w:sz w:val="32"/>
          <w:szCs w:val="32"/>
        </w:rPr>
        <w:t xml:space="preserve">1. Context</w:t>
      </w:r>
    </w:p>
    <w:p>
      <w:pPr>
        <w:spacing w:after="180"/>
      </w:pPr>
      <w:r>
        <w:rPr>
          <w:rFonts w:ascii="Arial" w:cs="Arial" w:eastAsia="Arial" w:hAnsi="Arial"/>
          <w:color w:val="404040"/>
          <w:sz w:val="22"/>
          <w:szCs w:val="22"/>
        </w:rPr>
        <w:t xml:space="preserve">Patients in today’s healthcare system routinely receive care from multiple providers — primary care physicians, specialists, urgent-care clinics, and emergency departments. Each provider organisation typically operates within its own electronic health record (EHR) platform (such as proprietary EHR systems or a proprietary EHR system), and these platforms do not automatically share data with one another. As a result, patients are forced to recall and manually re-enter their medical history at every new encounter, and must act as the messenger carrying information between providers. This creates clinical risk through errors and omissions, particularly in time-critical situations, and frustrates both patients and clinicians.</w:t>
      </w:r>
    </w:p>
    <w:p>
      <w:pPr>
        <w:spacing w:after="180"/>
      </w:pPr>
      <w:r>
        <w:rPr>
          <w:rFonts w:ascii="Arial" w:cs="Arial" w:eastAsia="Arial" w:hAnsi="Arial"/>
          <w:color w:val="404040"/>
          <w:sz w:val="22"/>
          <w:szCs w:val="22"/>
        </w:rPr>
        <w:t xml:space="preserve">The opportunity identified by stakeholders is to place individuals in control of their own longitudinal health record, so that accurate and complete information is available to any authorised provider without requiring manual patient effort. Existing frameworks — including HL7 FHIR, the eHealth Exchange network, proprietary EHR systems, a proprietary health platform, and the 21st Century Cures Act — provide a technical and regulatory foundation on which such a solution can be built.</w:t>
      </w:r>
    </w:p>
    <w:p>
      <w:pPr>
        <w:pStyle w:val="Heading1"/>
        <w:spacing w:before="360" w:after="140"/>
      </w:pPr>
      <w:r>
        <w:rPr>
          <w:rFonts w:ascii="Arial" w:cs="Arial" w:eastAsia="Arial" w:hAnsi="Arial"/>
          <w:b/>
          <w:bCs/>
          <w:color w:val="1F4E79"/>
          <w:sz w:val="32"/>
          <w:szCs w:val="32"/>
        </w:rPr>
        <w:t xml:space="preserve">2. Key User Groups and Actors</w:t>
      </w:r>
    </w:p>
    <w:p>
      <w:pPr>
        <w:spacing w:after="160"/>
      </w:pPr>
      <w:r>
        <w:rPr>
          <w:rFonts w:ascii="Arial" w:cs="Arial" w:eastAsia="Arial" w:hAnsi="Arial"/>
          <w:color w:val="404040"/>
          <w:sz w:val="22"/>
          <w:szCs w:val="22"/>
        </w:rPr>
        <w:t xml:space="preserve">The following actors have been identified from the stakeholder notes as having a direct stake in, or interaction with,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9EA" w:sz="1"/>
              <w:left w:val="single" w:color="C9D9EA" w:sz="1"/>
              <w:bottom w:val="single" w:color="C9D9EA" w:sz="1"/>
              <w:right w:val="single" w:color="C9D9E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Actor</w:t>
            </w:r>
          </w:p>
        </w:tc>
        <w:tc>
          <w:tcPr>
            <w:tcW w:type="dxa" w:w="7160"/>
            <w:tcBorders>
              <w:top w:val="single" w:color="C9D9EA" w:sz="1"/>
              <w:left w:val="single" w:color="C9D9EA" w:sz="1"/>
              <w:bottom w:val="single" w:color="C9D9EA" w:sz="1"/>
              <w:right w:val="single" w:color="C9D9E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Patient</w:t>
            </w:r>
          </w:p>
        </w:tc>
        <w:tc>
          <w:tcPr>
            <w:tcW w:type="dxa" w:w="7160"/>
            <w:tcBorders>
              <w:top w:val="single" w:color="C9D9EA" w:sz="1"/>
              <w:left w:val="single" w:color="C9D9EA" w:sz="1"/>
              <w:bottom w:val="single" w:color="C9D9EA" w:sz="1"/>
              <w:right w:val="single" w:color="C9D9EA" w:sz="1"/>
            </w:tcBorders>
            <w:tcMar>
              <w:top w:type="dxa" w:w="80"/>
              <w:left w:type="dxa" w:w="120"/>
              <w:bottom w:type="dxa" w:w="80"/>
              <w:right w:type="dxa" w:w="120"/>
            </w:tcMar>
          </w:tcPr>
          <w:p>
            <w:r>
              <w:rPr>
                <w:rFonts w:ascii="Arial" w:cs="Arial" w:eastAsia="Arial" w:hAnsi="Arial"/>
                <w:color w:val="404040"/>
                <w:sz w:val="22"/>
                <w:szCs w:val="22"/>
              </w:rPr>
              <w:t xml:space="preserve">An individual receiving care from one or more healthcare providers. The primary user of the solution and owner of their own health record. Patients range from tech-savvy to non-technical, and include elderly individuals who may rely on family members or carers.</w:t>
            </w:r>
          </w:p>
        </w:tc>
      </w:tr>
      <w:tr>
        <w:tc>
          <w:tcPr>
            <w:tcW w:type="dxa" w:w="2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Clinician / Provider</w:t>
            </w:r>
          </w:p>
        </w:tc>
        <w:tc>
          <w:tcPr>
            <w:tcW w:type="dxa" w:w="7160"/>
            <w:tcBorders>
              <w:top w:val="single" w:color="C9D9EA" w:sz="1"/>
              <w:left w:val="single" w:color="C9D9EA" w:sz="1"/>
              <w:bottom w:val="single" w:color="C9D9EA" w:sz="1"/>
              <w:right w:val="single" w:color="C9D9EA" w:sz="1"/>
            </w:tcBorders>
            <w:tcMar>
              <w:top w:type="dxa" w:w="80"/>
              <w:left w:type="dxa" w:w="120"/>
              <w:bottom w:type="dxa" w:w="80"/>
              <w:right w:type="dxa" w:w="120"/>
            </w:tcMar>
          </w:tcPr>
          <w:p>
            <w:r>
              <w:rPr>
                <w:rFonts w:ascii="Arial" w:cs="Arial" w:eastAsia="Arial" w:hAnsi="Arial"/>
                <w:color w:val="404040"/>
                <w:sz w:val="22"/>
                <w:szCs w:val="22"/>
              </w:rPr>
              <w:t xml:space="preserve">A healthcare professional (physician, surgeon, nurse, urgent-care practitioner) who needs access to a patient’s history at the point of care. Includes both primary care and specialist providers across multiple organisations.</w:t>
            </w:r>
          </w:p>
        </w:tc>
      </w:tr>
      <w:tr>
        <w:tc>
          <w:tcPr>
            <w:tcW w:type="dxa" w:w="2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Healthcare Facility</w:t>
            </w:r>
          </w:p>
        </w:tc>
        <w:tc>
          <w:tcPr>
            <w:tcW w:type="dxa" w:w="7160"/>
            <w:tcBorders>
              <w:top w:val="single" w:color="C9D9EA" w:sz="1"/>
              <w:left w:val="single" w:color="C9D9EA" w:sz="1"/>
              <w:bottom w:val="single" w:color="C9D9EA" w:sz="1"/>
              <w:right w:val="single" w:color="C9D9EA" w:sz="1"/>
            </w:tcBorders>
            <w:tcMar>
              <w:top w:type="dxa" w:w="80"/>
              <w:left w:type="dxa" w:w="120"/>
              <w:bottom w:type="dxa" w:w="80"/>
              <w:right w:type="dxa" w:w="120"/>
            </w:tcMar>
          </w:tcPr>
          <w:p>
            <w:r>
              <w:rPr>
                <w:rFonts w:ascii="Arial" w:cs="Arial" w:eastAsia="Arial" w:hAnsi="Arial"/>
                <w:color w:val="404040"/>
                <w:sz w:val="22"/>
                <w:szCs w:val="22"/>
              </w:rPr>
              <w:t xml:space="preserve">A hospital, clinic, urgent-care centre, or pharmacy that employs clinicians and operates its own EHR or record-keeping system (including paper-based offices). A new facility needs to be authorised by the patient before accessing records.</w:t>
            </w:r>
          </w:p>
        </w:tc>
      </w:tr>
      <w:tr>
        <w:tc>
          <w:tcPr>
            <w:tcW w:type="dxa" w:w="2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Family Member / Carer</w:t>
            </w:r>
          </w:p>
        </w:tc>
        <w:tc>
          <w:tcPr>
            <w:tcW w:type="dxa" w:w="7160"/>
            <w:tcBorders>
              <w:top w:val="single" w:color="C9D9EA" w:sz="1"/>
              <w:left w:val="single" w:color="C9D9EA" w:sz="1"/>
              <w:bottom w:val="single" w:color="C9D9EA" w:sz="1"/>
              <w:right w:val="single" w:color="C9D9EA" w:sz="1"/>
            </w:tcBorders>
            <w:tcMar>
              <w:top w:type="dxa" w:w="80"/>
              <w:left w:type="dxa" w:w="120"/>
              <w:bottom w:type="dxa" w:w="80"/>
              <w:right w:type="dxa" w:w="120"/>
            </w:tcMar>
          </w:tcPr>
          <w:p>
            <w:r>
              <w:rPr>
                <w:rFonts w:ascii="Arial" w:cs="Arial" w:eastAsia="Arial" w:hAnsi="Arial"/>
                <w:color w:val="404040"/>
                <w:sz w:val="22"/>
                <w:szCs w:val="22"/>
              </w:rPr>
              <w:t xml:space="preserve">A person acting on behalf of a patient (e.g., an adult child managing an elderly parent’s care) who may need to access or help maintain the patient’s health record with appropriate consent.</w:t>
            </w:r>
          </w:p>
        </w:tc>
      </w:tr>
      <w:tr>
        <w:tc>
          <w:tcPr>
            <w:tcW w:type="dxa" w:w="2200"/>
            <w:tcBorders>
              <w:top w:val="single" w:color="C9D9EA" w:sz="1"/>
              <w:left w:val="single" w:color="C9D9EA" w:sz="1"/>
              <w:bottom w:val="single" w:color="C9D9EA" w:sz="1"/>
              <w:right w:val="single" w:color="C9D9EA"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Health IT / EHR System</w:t>
            </w:r>
          </w:p>
        </w:tc>
        <w:tc>
          <w:tcPr>
            <w:tcW w:type="dxa" w:w="7160"/>
            <w:tcBorders>
              <w:top w:val="single" w:color="C9D9EA" w:sz="1"/>
              <w:left w:val="single" w:color="C9D9EA" w:sz="1"/>
              <w:bottom w:val="single" w:color="C9D9EA" w:sz="1"/>
              <w:right w:val="single" w:color="C9D9EA" w:sz="1"/>
            </w:tcBorders>
            <w:tcMar>
              <w:top w:type="dxa" w:w="80"/>
              <w:left w:type="dxa" w:w="120"/>
              <w:bottom w:type="dxa" w:w="80"/>
              <w:right w:type="dxa" w:w="120"/>
            </w:tcMar>
          </w:tcPr>
          <w:p>
            <w:r>
              <w:rPr>
                <w:rFonts w:ascii="Arial" w:cs="Arial" w:eastAsia="Arial" w:hAnsi="Arial"/>
                <w:color w:val="404040"/>
                <w:sz w:val="22"/>
                <w:szCs w:val="22"/>
              </w:rPr>
              <w:t xml:space="preserve">An existing EHR platform (e.g., proprietary systems) that holds patient data and must be able to exchange information with the solution. Acts as a data source and/or data consumer.</w:t>
            </w:r>
          </w:p>
        </w:tc>
      </w:tr>
    </w:tbl>
    <w:p>
      <w:pPr>
        <w:spacing w:after="200"/>
      </w:pPr>
    </w:p>
    <w:p>
      <w:pPr>
        <w:pStyle w:val="Heading1"/>
        <w:spacing w:before="360" w:after="140"/>
      </w:pPr>
      <w:r>
        <w:rPr>
          <w:rFonts w:ascii="Arial" w:cs="Arial" w:eastAsia="Arial" w:hAnsi="Arial"/>
          <w:b/>
          <w:bCs/>
          <w:color w:val="1F4E79"/>
          <w:sz w:val="32"/>
          <w:szCs w:val="32"/>
        </w:rPr>
        <w:t xml:space="preserve">3. User Requirements</w:t>
      </w:r>
    </w:p>
    <w:p>
      <w:pPr>
        <w:pStyle w:val="Heading2"/>
        <w:spacing w:before="260" w:after="100"/>
      </w:pPr>
      <w:r>
        <w:rPr>
          <w:rFonts w:ascii="Arial" w:cs="Arial" w:eastAsia="Arial" w:hAnsi="Arial"/>
          <w:b/>
          <w:bCs/>
          <w:color w:val="2E75B6"/>
          <w:sz w:val="26"/>
          <w:szCs w:val="26"/>
        </w:rPr>
        <w:t xml:space="preserve">3.1  Patient — Record Access and Ownership</w:t>
      </w:r>
    </w:p>
    <w:p>
      <w:pPr>
        <w:pStyle w:val="ListParagraph"/>
        <w:numPr>
          <w:ilvl w:val="0"/>
          <w:numId w:val="2"/>
        </w:numPr>
        <w:spacing w:after="160"/>
      </w:pPr>
      <w:r>
        <w:rPr>
          <w:rFonts w:ascii="Arial" w:cs="Arial" w:eastAsia="Arial" w:hAnsi="Arial"/>
          <w:b/>
          <w:bCs/>
          <w:color w:val="2E75B6"/>
          <w:sz w:val="22"/>
          <w:szCs w:val="22"/>
        </w:rPr>
        <w:t xml:space="preserve">UR-001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access my complete health record from all my providers in one place so that I do not have to rely on memory or visit multiple platforms (proprietary EHR systems, etc.) when attending a new consultation or emergency.</w:t>
      </w:r>
    </w:p>
    <w:p>
      <w:pPr>
        <w:pStyle w:val="ListParagraph"/>
        <w:numPr>
          <w:ilvl w:val="0"/>
          <w:numId w:val="2"/>
        </w:numPr>
        <w:spacing w:after="160"/>
      </w:pPr>
      <w:r>
        <w:rPr>
          <w:rFonts w:ascii="Arial" w:cs="Arial" w:eastAsia="Arial" w:hAnsi="Arial"/>
          <w:b/>
          <w:bCs/>
          <w:color w:val="2E75B6"/>
          <w:sz w:val="22"/>
          <w:szCs w:val="22"/>
        </w:rPr>
        <w:t xml:space="preserve">UR-002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view my health history on a mobile device at any time so that I have immediate access to my records wherever I am, including at an urgent-care or emergency visit.</w:t>
      </w:r>
    </w:p>
    <w:p>
      <w:pPr>
        <w:pStyle w:val="ListParagraph"/>
        <w:numPr>
          <w:ilvl w:val="0"/>
          <w:numId w:val="2"/>
        </w:numPr>
        <w:spacing w:after="160"/>
      </w:pPr>
      <w:r>
        <w:rPr>
          <w:rFonts w:ascii="Arial" w:cs="Arial" w:eastAsia="Arial" w:hAnsi="Arial"/>
          <w:b/>
          <w:bCs/>
          <w:color w:val="2E75B6"/>
          <w:sz w:val="22"/>
          <w:szCs w:val="22"/>
        </w:rPr>
        <w:t xml:space="preserve">UR-003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see information from all my past providers — including those I saw years ago — in a single view so that clinicians I encounter today have the full context of my history and can make better-informed decisions.</w:t>
      </w:r>
    </w:p>
    <w:p>
      <w:pPr>
        <w:pStyle w:val="ListParagraph"/>
        <w:numPr>
          <w:ilvl w:val="0"/>
          <w:numId w:val="2"/>
        </w:numPr>
        <w:spacing w:after="160"/>
      </w:pPr>
      <w:r>
        <w:rPr>
          <w:rFonts w:ascii="Arial" w:cs="Arial" w:eastAsia="Arial" w:hAnsi="Arial"/>
          <w:b/>
          <w:bCs/>
          <w:color w:val="2E75B6"/>
          <w:sz w:val="22"/>
          <w:szCs w:val="22"/>
        </w:rPr>
        <w:t xml:space="preserve">UR-004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add my own health information (such as immunisations received at a pharmacy, allergies, or over-the-counter medications) so that my record is complete even when a provider has not yet updated it, reducing clinically significant gaps.</w:t>
      </w:r>
    </w:p>
    <w:p>
      <w:pPr>
        <w:pStyle w:val="ListParagraph"/>
        <w:numPr>
          <w:ilvl w:val="0"/>
          <w:numId w:val="2"/>
        </w:numPr>
        <w:spacing w:after="160"/>
      </w:pPr>
      <w:r>
        <w:rPr>
          <w:rFonts w:ascii="Arial" w:cs="Arial" w:eastAsia="Arial" w:hAnsi="Arial"/>
          <w:b/>
          <w:bCs/>
          <w:color w:val="2E75B6"/>
          <w:sz w:val="22"/>
          <w:szCs w:val="22"/>
        </w:rPr>
        <w:t xml:space="preserve">UR-005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correct inaccurate information in my health record so that the record clinicians rely on is accurate and I am not disadvantaged by data entry errors made by a provider.</w:t>
      </w:r>
    </w:p>
    <w:p>
      <w:pPr>
        <w:pStyle w:val="Heading2"/>
        <w:spacing w:before="260" w:after="100"/>
      </w:pPr>
      <w:r>
        <w:rPr>
          <w:rFonts w:ascii="Arial" w:cs="Arial" w:eastAsia="Arial" w:hAnsi="Arial"/>
          <w:b/>
          <w:bCs/>
          <w:color w:val="2E75B6"/>
          <w:sz w:val="26"/>
          <w:szCs w:val="26"/>
        </w:rPr>
        <w:t xml:space="preserve">3.2  Patient — Consent and Sharing</w:t>
      </w:r>
    </w:p>
    <w:p>
      <w:pPr>
        <w:pStyle w:val="ListParagraph"/>
        <w:numPr>
          <w:ilvl w:val="0"/>
          <w:numId w:val="2"/>
        </w:numPr>
        <w:spacing w:after="160"/>
      </w:pPr>
      <w:r>
        <w:rPr>
          <w:rFonts w:ascii="Arial" w:cs="Arial" w:eastAsia="Arial" w:hAnsi="Arial"/>
          <w:b/>
          <w:bCs/>
          <w:color w:val="2E75B6"/>
          <w:sz w:val="22"/>
          <w:szCs w:val="22"/>
        </w:rPr>
        <w:t xml:space="preserve">UR-006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choose which providers and facilities can access my health record so that I retain control over my own health data and can decide who is permitted to view it.</w:t>
      </w:r>
    </w:p>
    <w:p>
      <w:pPr>
        <w:pStyle w:val="ListParagraph"/>
        <w:numPr>
          <w:ilvl w:val="0"/>
          <w:numId w:val="2"/>
        </w:numPr>
        <w:spacing w:after="160"/>
      </w:pPr>
      <w:r>
        <w:rPr>
          <w:rFonts w:ascii="Arial" w:cs="Arial" w:eastAsia="Arial" w:hAnsi="Arial"/>
          <w:b/>
          <w:bCs/>
          <w:color w:val="2E75B6"/>
          <w:sz w:val="22"/>
          <w:szCs w:val="22"/>
        </w:rPr>
        <w:t xml:space="preserve">UR-007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grant a new healthcare facility access to my records quickly at the point of check-in so that the care team has the information they need immediately, without me having to fill in lengthy forms or rely on memory.</w:t>
      </w:r>
    </w:p>
    <w:p>
      <w:pPr>
        <w:pStyle w:val="ListParagraph"/>
        <w:numPr>
          <w:ilvl w:val="0"/>
          <w:numId w:val="2"/>
        </w:numPr>
        <w:spacing w:after="160"/>
      </w:pPr>
      <w:r>
        <w:rPr>
          <w:rFonts w:ascii="Arial" w:cs="Arial" w:eastAsia="Arial" w:hAnsi="Arial"/>
          <w:b/>
          <w:bCs/>
          <w:color w:val="2E75B6"/>
          <w:sz w:val="22"/>
          <w:szCs w:val="22"/>
        </w:rPr>
        <w:t xml:space="preserve">UR-008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revoke a provider’s access to my record at any time so that I maintain ongoing control over my data and am not locked in to access decisions I made in the past.</w:t>
      </w:r>
    </w:p>
    <w:p>
      <w:pPr>
        <w:pStyle w:val="ListParagraph"/>
        <w:numPr>
          <w:ilvl w:val="0"/>
          <w:numId w:val="2"/>
        </w:numPr>
        <w:spacing w:after="160"/>
      </w:pPr>
      <w:r>
        <w:rPr>
          <w:rFonts w:ascii="Arial" w:cs="Arial" w:eastAsia="Arial" w:hAnsi="Arial"/>
          <w:b/>
          <w:bCs/>
          <w:color w:val="2E75B6"/>
          <w:sz w:val="22"/>
          <w:szCs w:val="22"/>
        </w:rPr>
        <w:t xml:space="preserve">UR-009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understand clearly who has accessed my health record and when so that I have full visibility and can detect any unauthorised or unexpected access.</w:t>
      </w:r>
    </w:p>
    <w:p>
      <w:pPr>
        <w:pStyle w:val="Heading2"/>
        <w:spacing w:before="260" w:after="100"/>
      </w:pPr>
      <w:r>
        <w:rPr>
          <w:rFonts w:ascii="Arial" w:cs="Arial" w:eastAsia="Arial" w:hAnsi="Arial"/>
          <w:b/>
          <w:bCs/>
          <w:color w:val="2E75B6"/>
          <w:sz w:val="26"/>
          <w:szCs w:val="26"/>
        </w:rPr>
        <w:t xml:space="preserve">3.3  Patient — Usability and Inclusion</w:t>
      </w:r>
    </w:p>
    <w:p>
      <w:pPr>
        <w:pStyle w:val="ListParagraph"/>
        <w:numPr>
          <w:ilvl w:val="0"/>
          <w:numId w:val="2"/>
        </w:numPr>
        <w:spacing w:after="160"/>
      </w:pPr>
      <w:r>
        <w:rPr>
          <w:rFonts w:ascii="Arial" w:cs="Arial" w:eastAsia="Arial" w:hAnsi="Arial"/>
          <w:b/>
          <w:bCs/>
          <w:color w:val="2E75B6"/>
          <w:sz w:val="22"/>
          <w:szCs w:val="22"/>
        </w:rPr>
        <w:t xml:space="preserve">UR-010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 who is not technically experienced</w:t>
      </w:r>
      <w:r>
        <w:rPr>
          <w:rFonts w:ascii="Arial" w:cs="Arial" w:eastAsia="Arial" w:hAnsi="Arial"/>
          <w:color w:val="404040"/>
          <w:sz w:val="22"/>
          <w:szCs w:val="22"/>
        </w:rPr>
        <w:t xml:space="preserve">, I need to set up my record and link my first provider quickly and without needing technical help so that the solution is accessible to people of all ages and digital literacy levels, not just those comfortable with technology.</w:t>
      </w:r>
    </w:p>
    <w:p>
      <w:pPr>
        <w:pStyle w:val="ListParagraph"/>
        <w:numPr>
          <w:ilvl w:val="0"/>
          <w:numId w:val="2"/>
        </w:numPr>
        <w:spacing w:after="160"/>
      </w:pPr>
      <w:r>
        <w:rPr>
          <w:rFonts w:ascii="Arial" w:cs="Arial" w:eastAsia="Arial" w:hAnsi="Arial"/>
          <w:b/>
          <w:bCs/>
          <w:color w:val="2E75B6"/>
          <w:sz w:val="22"/>
          <w:szCs w:val="22"/>
        </w:rPr>
        <w:t xml:space="preserve">UR-011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patient</w:t>
      </w:r>
      <w:r>
        <w:rPr>
          <w:rFonts w:ascii="Arial" w:cs="Arial" w:eastAsia="Arial" w:hAnsi="Arial"/>
          <w:color w:val="404040"/>
          <w:sz w:val="22"/>
          <w:szCs w:val="22"/>
        </w:rPr>
        <w:t xml:space="preserve">, I need to obtain a printed summary of my health record so that I can share my information with providers who do not have access to digital systems, or in situations where digital access is unavailable.</w:t>
      </w:r>
    </w:p>
    <w:p>
      <w:pPr>
        <w:pStyle w:val="ListParagraph"/>
        <w:numPr>
          <w:ilvl w:val="0"/>
          <w:numId w:val="2"/>
        </w:numPr>
        <w:spacing w:after="160"/>
      </w:pPr>
      <w:r>
        <w:rPr>
          <w:rFonts w:ascii="Arial" w:cs="Arial" w:eastAsia="Arial" w:hAnsi="Arial"/>
          <w:b/>
          <w:bCs/>
          <w:color w:val="2E75B6"/>
          <w:sz w:val="22"/>
          <w:szCs w:val="22"/>
        </w:rPr>
        <w:t xml:space="preserve">UR-012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family member or carer acting on behalf of a patient</w:t>
      </w:r>
      <w:r>
        <w:rPr>
          <w:rFonts w:ascii="Arial" w:cs="Arial" w:eastAsia="Arial" w:hAnsi="Arial"/>
          <w:color w:val="404040"/>
          <w:sz w:val="22"/>
          <w:szCs w:val="22"/>
        </w:rPr>
        <w:t xml:space="preserve">, I need to manage health record access on behalf of the patient with their consent so that elderly or incapacitated patients can still benefit from the solution even if they cannot manage it themselves.</w:t>
      </w:r>
    </w:p>
    <w:p>
      <w:pPr>
        <w:pStyle w:val="Heading2"/>
        <w:spacing w:before="260" w:after="100"/>
      </w:pPr>
      <w:r>
        <w:rPr>
          <w:rFonts w:ascii="Arial" w:cs="Arial" w:eastAsia="Arial" w:hAnsi="Arial"/>
          <w:b/>
          <w:bCs/>
          <w:color w:val="2E75B6"/>
          <w:sz w:val="26"/>
          <w:szCs w:val="26"/>
        </w:rPr>
        <w:t xml:space="preserve">3.4  Clinician / Provider</w:t>
      </w:r>
    </w:p>
    <w:p>
      <w:pPr>
        <w:pStyle w:val="ListParagraph"/>
        <w:numPr>
          <w:ilvl w:val="0"/>
          <w:numId w:val="2"/>
        </w:numPr>
        <w:spacing w:after="160"/>
      </w:pPr>
      <w:r>
        <w:rPr>
          <w:rFonts w:ascii="Arial" w:cs="Arial" w:eastAsia="Arial" w:hAnsi="Arial"/>
          <w:b/>
          <w:bCs/>
          <w:color w:val="2E75B6"/>
          <w:sz w:val="22"/>
          <w:szCs w:val="22"/>
        </w:rPr>
        <w:t xml:space="preserve">UR-013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clinician</w:t>
      </w:r>
      <w:r>
        <w:rPr>
          <w:rFonts w:ascii="Arial" w:cs="Arial" w:eastAsia="Arial" w:hAnsi="Arial"/>
          <w:color w:val="404040"/>
          <w:sz w:val="22"/>
          <w:szCs w:val="22"/>
        </w:rPr>
        <w:t xml:space="preserve">, I need to access a patient’s consolidated health history at the point of care, once the patient has given consent so that I can make well-informed clinical decisions without having to contact other providers or rely on the patient’s recollection.</w:t>
      </w:r>
    </w:p>
    <w:p>
      <w:pPr>
        <w:pStyle w:val="ListParagraph"/>
        <w:numPr>
          <w:ilvl w:val="0"/>
          <w:numId w:val="2"/>
        </w:numPr>
        <w:spacing w:after="160"/>
      </w:pPr>
      <w:r>
        <w:rPr>
          <w:rFonts w:ascii="Arial" w:cs="Arial" w:eastAsia="Arial" w:hAnsi="Arial"/>
          <w:b/>
          <w:bCs/>
          <w:color w:val="2E75B6"/>
          <w:sz w:val="22"/>
          <w:szCs w:val="22"/>
        </w:rPr>
        <w:t xml:space="preserve">UR-014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clinician</w:t>
      </w:r>
      <w:r>
        <w:rPr>
          <w:rFonts w:ascii="Arial" w:cs="Arial" w:eastAsia="Arial" w:hAnsi="Arial"/>
          <w:color w:val="404040"/>
          <w:sz w:val="22"/>
          <w:szCs w:val="22"/>
        </w:rPr>
        <w:t xml:space="preserve">, I need to receive relevant patient record updates automatically when a patient I care for has new information added by another provider so that I am kept current without having to proactively request information or wait for the patient to inform me.</w:t>
      </w:r>
    </w:p>
    <w:p>
      <w:pPr>
        <w:pStyle w:val="ListParagraph"/>
        <w:numPr>
          <w:ilvl w:val="0"/>
          <w:numId w:val="2"/>
        </w:numPr>
        <w:spacing w:after="160"/>
      </w:pPr>
      <w:r>
        <w:rPr>
          <w:rFonts w:ascii="Arial" w:cs="Arial" w:eastAsia="Arial" w:hAnsi="Arial"/>
          <w:b/>
          <w:bCs/>
          <w:color w:val="2E75B6"/>
          <w:sz w:val="22"/>
          <w:szCs w:val="22"/>
        </w:rPr>
        <w:t xml:space="preserve">UR-015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clinician</w:t>
      </w:r>
      <w:r>
        <w:rPr>
          <w:rFonts w:ascii="Arial" w:cs="Arial" w:eastAsia="Arial" w:hAnsi="Arial"/>
          <w:color w:val="404040"/>
          <w:sz w:val="22"/>
          <w:szCs w:val="22"/>
        </w:rPr>
        <w:t xml:space="preserve">, I need to access a patient’s record through the tools and workflows I already use so that I do not have to learn a new system or disrupt my existing clinical workflow to benefit from the solution.</w:t>
      </w:r>
    </w:p>
    <w:p>
      <w:pPr>
        <w:pStyle w:val="ListParagraph"/>
        <w:numPr>
          <w:ilvl w:val="0"/>
          <w:numId w:val="2"/>
        </w:numPr>
        <w:spacing w:after="160"/>
      </w:pPr>
      <w:r>
        <w:rPr>
          <w:rFonts w:ascii="Arial" w:cs="Arial" w:eastAsia="Arial" w:hAnsi="Arial"/>
          <w:b/>
          <w:bCs/>
          <w:color w:val="2E75B6"/>
          <w:sz w:val="22"/>
          <w:szCs w:val="22"/>
        </w:rPr>
        <w:t xml:space="preserve">UR-016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clinician</w:t>
      </w:r>
      <w:r>
        <w:rPr>
          <w:rFonts w:ascii="Arial" w:cs="Arial" w:eastAsia="Arial" w:hAnsi="Arial"/>
          <w:color w:val="404040"/>
          <w:sz w:val="22"/>
          <w:szCs w:val="22"/>
        </w:rPr>
        <w:t xml:space="preserve">, I need to be confident that the patient information I am viewing is accurate and up to date so that I can act on the record with clinical confidence and am not misled by stale or incomplete data.</w:t>
      </w:r>
    </w:p>
    <w:p>
      <w:pPr>
        <w:pStyle w:val="ListParagraph"/>
        <w:numPr>
          <w:ilvl w:val="0"/>
          <w:numId w:val="2"/>
        </w:numPr>
        <w:spacing w:after="160"/>
      </w:pPr>
      <w:r>
        <w:rPr>
          <w:rFonts w:ascii="Arial" w:cs="Arial" w:eastAsia="Arial" w:hAnsi="Arial"/>
          <w:b/>
          <w:bCs/>
          <w:color w:val="2E75B6"/>
          <w:sz w:val="22"/>
          <w:szCs w:val="22"/>
        </w:rPr>
        <w:t xml:space="preserve">UR-017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clinician</w:t>
      </w:r>
      <w:r>
        <w:rPr>
          <w:rFonts w:ascii="Arial" w:cs="Arial" w:eastAsia="Arial" w:hAnsi="Arial"/>
          <w:color w:val="404040"/>
          <w:sz w:val="22"/>
          <w:szCs w:val="22"/>
        </w:rPr>
        <w:t xml:space="preserve">, I need to add clinical notes and findings to a patient’s shared record so that other providers in the patient’s care team have access to my observations without requiring the patient to act as messenger.</w:t>
      </w:r>
    </w:p>
    <w:p>
      <w:pPr>
        <w:pStyle w:val="Heading2"/>
        <w:spacing w:before="260" w:after="100"/>
      </w:pPr>
      <w:r>
        <w:rPr>
          <w:rFonts w:ascii="Arial" w:cs="Arial" w:eastAsia="Arial" w:hAnsi="Arial"/>
          <w:b/>
          <w:bCs/>
          <w:color w:val="2E75B6"/>
          <w:sz w:val="26"/>
          <w:szCs w:val="26"/>
        </w:rPr>
        <w:t xml:space="preserve">3.5  Healthcare Facility</w:t>
      </w:r>
    </w:p>
    <w:p>
      <w:pPr>
        <w:pStyle w:val="ListParagraph"/>
        <w:numPr>
          <w:ilvl w:val="0"/>
          <w:numId w:val="2"/>
        </w:numPr>
        <w:spacing w:after="160"/>
      </w:pPr>
      <w:r>
        <w:rPr>
          <w:rFonts w:ascii="Arial" w:cs="Arial" w:eastAsia="Arial" w:hAnsi="Arial"/>
          <w:b/>
          <w:bCs/>
          <w:color w:val="2E75B6"/>
          <w:sz w:val="22"/>
          <w:szCs w:val="22"/>
        </w:rPr>
        <w:t xml:space="preserve">UR-018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healthcare facility</w:t>
      </w:r>
      <w:r>
        <w:rPr>
          <w:rFonts w:ascii="Arial" w:cs="Arial" w:eastAsia="Arial" w:hAnsi="Arial"/>
          <w:color w:val="404040"/>
          <w:sz w:val="22"/>
          <w:szCs w:val="22"/>
        </w:rPr>
        <w:t xml:space="preserve">, I need to connect to the solution without replacing my existing EHR system so that adoption does not require prohibitive infrastructure investment and can achieve the critical mass needed for the solution to be viable.</w:t>
      </w:r>
    </w:p>
    <w:p>
      <w:pPr>
        <w:pStyle w:val="ListParagraph"/>
        <w:numPr>
          <w:ilvl w:val="0"/>
          <w:numId w:val="2"/>
        </w:numPr>
        <w:spacing w:after="160"/>
      </w:pPr>
      <w:r>
        <w:rPr>
          <w:rFonts w:ascii="Arial" w:cs="Arial" w:eastAsia="Arial" w:hAnsi="Arial"/>
          <w:b/>
          <w:bCs/>
          <w:color w:val="2E75B6"/>
          <w:sz w:val="22"/>
          <w:szCs w:val="22"/>
        </w:rPr>
        <w:t xml:space="preserve">UR-019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healthcare facility that still uses paper records</w:t>
      </w:r>
      <w:r>
        <w:rPr>
          <w:rFonts w:ascii="Arial" w:cs="Arial" w:eastAsia="Arial" w:hAnsi="Arial"/>
          <w:color w:val="404040"/>
          <w:sz w:val="22"/>
          <w:szCs w:val="22"/>
        </w:rPr>
        <w:t xml:space="preserve">, I need to participate in the solution without mandating full digital transformation so that no patients are excluded because their provider has not yet adopted a modern EHR.</w:t>
      </w:r>
    </w:p>
    <w:p>
      <w:pPr>
        <w:pStyle w:val="ListParagraph"/>
        <w:numPr>
          <w:ilvl w:val="0"/>
          <w:numId w:val="2"/>
        </w:numPr>
        <w:spacing w:after="160"/>
      </w:pPr>
      <w:r>
        <w:rPr>
          <w:rFonts w:ascii="Arial" w:cs="Arial" w:eastAsia="Arial" w:hAnsi="Arial"/>
          <w:b/>
          <w:bCs/>
          <w:color w:val="2E75B6"/>
          <w:sz w:val="22"/>
          <w:szCs w:val="22"/>
        </w:rPr>
        <w:t xml:space="preserve">UR-020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healthcare facility</w:t>
      </w:r>
      <w:r>
        <w:rPr>
          <w:rFonts w:ascii="Arial" w:cs="Arial" w:eastAsia="Arial" w:hAnsi="Arial"/>
          <w:color w:val="404040"/>
          <w:sz w:val="22"/>
          <w:szCs w:val="22"/>
        </w:rPr>
        <w:t xml:space="preserve">, I need to rely on the solution to comply with HIPAA and the 21st Century Cures Act information-blocking provisions so that I can participate with confidence that legal obligations are met and that data sharing obligations are not circumvented by the solution or by other participants.</w:t>
      </w:r>
    </w:p>
    <w:p>
      <w:pPr>
        <w:pStyle w:val="Heading2"/>
        <w:spacing w:before="260" w:after="100"/>
      </w:pPr>
      <w:r>
        <w:rPr>
          <w:rFonts w:ascii="Arial" w:cs="Arial" w:eastAsia="Arial" w:hAnsi="Arial"/>
          <w:b/>
          <w:bCs/>
          <w:color w:val="2E75B6"/>
          <w:sz w:val="26"/>
          <w:szCs w:val="26"/>
        </w:rPr>
        <w:t xml:space="preserve">3.6  Health IT / EHR System</w:t>
      </w:r>
    </w:p>
    <w:p>
      <w:pPr>
        <w:pStyle w:val="ListParagraph"/>
        <w:numPr>
          <w:ilvl w:val="0"/>
          <w:numId w:val="2"/>
        </w:numPr>
        <w:spacing w:after="160"/>
      </w:pPr>
      <w:r>
        <w:rPr>
          <w:rFonts w:ascii="Arial" w:cs="Arial" w:eastAsia="Arial" w:hAnsi="Arial"/>
          <w:b/>
          <w:bCs/>
          <w:color w:val="2E75B6"/>
          <w:sz w:val="22"/>
          <w:szCs w:val="22"/>
        </w:rPr>
        <w:t xml:space="preserve">UR-021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health IT system (e.g., proprietary EHR systems, a proprietary health platform)</w:t>
      </w:r>
      <w:r>
        <w:rPr>
          <w:rFonts w:ascii="Arial" w:cs="Arial" w:eastAsia="Arial" w:hAnsi="Arial"/>
          <w:color w:val="404040"/>
          <w:sz w:val="22"/>
          <w:szCs w:val="22"/>
        </w:rPr>
        <w:t xml:space="preserve">, I need to exchange patient data with the solution using standard, published interfaces so that integration can be achieved without bespoke bilateral agreements, and the solution can scale across the existing landscape of EHR platforms.</w:t>
      </w:r>
    </w:p>
    <w:p>
      <w:pPr>
        <w:pStyle w:val="ListParagraph"/>
        <w:numPr>
          <w:ilvl w:val="0"/>
          <w:numId w:val="2"/>
        </w:numPr>
        <w:spacing w:after="160"/>
      </w:pPr>
      <w:r>
        <w:rPr>
          <w:rFonts w:ascii="Arial" w:cs="Arial" w:eastAsia="Arial" w:hAnsi="Arial"/>
          <w:b/>
          <w:bCs/>
          <w:color w:val="2E75B6"/>
          <w:sz w:val="22"/>
          <w:szCs w:val="22"/>
        </w:rPr>
        <w:t xml:space="preserve">UR-022  </w:t>
      </w:r>
      <w:r>
        <w:rPr>
          <w:rFonts w:ascii="Arial" w:cs="Arial" w:eastAsia="Arial" w:hAnsi="Arial"/>
          <w:color w:val="404040"/>
          <w:sz w:val="22"/>
          <w:szCs w:val="22"/>
        </w:rPr>
        <w:t xml:space="preserve">As a </w:t>
      </w:r>
      <w:r>
        <w:rPr>
          <w:rFonts w:ascii="Arial" w:cs="Arial" w:eastAsia="Arial" w:hAnsi="Arial"/>
          <w:b/>
          <w:bCs/>
          <w:color w:val="1F4E79"/>
          <w:sz w:val="22"/>
          <w:szCs w:val="22"/>
        </w:rPr>
        <w:t xml:space="preserve">health IT system</w:t>
      </w:r>
      <w:r>
        <w:rPr>
          <w:rFonts w:ascii="Arial" w:cs="Arial" w:eastAsia="Arial" w:hAnsi="Arial"/>
          <w:color w:val="404040"/>
          <w:sz w:val="22"/>
          <w:szCs w:val="22"/>
        </w:rPr>
        <w:t xml:space="preserve">, I need to receive patient-contributed updates and incorporate them into the patient’s record so that the authoritative clinical record held by a provider reflects patient-sourced information (such as pharmacy immunisations) as well as provider-sourced data.</w:t>
      </w:r>
    </w:p>
    <w:p>
      <w:pPr>
        <w:pBdr>
          <w:top w:val="single" w:color="CCCCCC" w:sz="4" w:space="1"/>
        </w:pBdr>
        <w:spacing w:before="320"/>
      </w:pPr>
      <w:r>
        <w:rPr>
          <w:rFonts w:ascii="Arial" w:cs="Arial" w:eastAsia="Arial" w:hAnsi="Arial"/>
          <w:i/>
          <w:iCs/>
          <w:color w:val="999999"/>
          <w:sz w:val="18"/>
          <w:szCs w:val="18"/>
        </w:rPr>
        <w:t xml:space="preserve">This document records user needs derived from stakeholder workshop notes. It does not describe system behaviour or technical solutions. Requirements should be validated with representative users and legal/clinical advisors before use in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2026-03-06T20:41:56.549Z</dcterms:created>
  <dcterms:modified xsi:type="dcterms:W3CDTF">2026-03-06T20:41:56.550Z</dcterms:modified>
</cp:coreProperties>
</file>

<file path=docProps/custom.xml><?xml version="1.0" encoding="utf-8"?>
<Properties xmlns="http://schemas.openxmlformats.org/officeDocument/2006/custom-properties" xmlns:vt="http://schemas.openxmlformats.org/officeDocument/2006/docPropsVTypes"/>
</file>