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13843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8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projectName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Deployment pack</w:t>
        <w:br w:type="textWrapping"/>
        <w:t xml:space="preserve">Benefits realisation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PHASE 3: EXPLORATION, ENGINEERING AND DEPLOYMENT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 of this document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DSDM handbook 8.5.3.1; Appendix C 4.3.1 </w:t>
        <w:br w:type="textWrapping"/>
        <w:t xml:space="preserve">Document template version 0.2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Based on the benefits laid out in the business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ase element of the business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oundations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key information that can be measured after the solution or, where appropriate, partial solution has been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Quantify the expected value for each measure at various points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Determine how and when the baseline of the current state of the metrics will be made for future comparison.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and plan activities required to ensure that any new or changed working practices are properly embedded.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how and when future measurements will be taken, to demonstrate whether target metrics are being achieved and thus whether predicted benefits are being achieved.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how and when such measurements will be reported to the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usiness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ponsor and other interested parties. The Benefits Realisation Report is the product intended to convey this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Quality criteria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the measures identified accurately illustrate achievement of all the quantitative benefits as laid down in the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usiness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Is the plan for capturing information in the future in line with the timescales laid out in the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usiness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Have the managers of the affected operational areas agreed to any required benefits realisation activities and to the feasibility of collecting the metrics contained within the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Have the individuals identified as responsible for capturing information in the future accepted their responsibilities in this regard?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Will the data be accessible by those responsible for measuring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Is it clear who will coordinate this measurement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sign-off</w:t>
      </w:r>
    </w:p>
    <w:tbl>
      <w:tblPr>
        <w:tblStyle w:val="Table1"/>
        <w:tblW w:w="913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10"/>
        <w:gridCol w:w="2955"/>
        <w:gridCol w:w="3315"/>
        <w:gridCol w:w="1455"/>
        <w:tblGridChange w:id="0">
          <w:tblGrid>
            <w:gridCol w:w="1410"/>
            <w:gridCol w:w="2955"/>
            <w:gridCol w:w="3315"/>
            <w:gridCol w:w="145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RACI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visionary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yyyy-mm-dd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sponsor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Consulted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Verified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impacted by the new solution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03"/>
        <w:gridCol w:w="1027"/>
        <w:gridCol w:w="3261"/>
        <w:gridCol w:w="1515"/>
        <w:gridCol w:w="1410"/>
        <w:tblGridChange w:id="0">
          <w:tblGrid>
            <w:gridCol w:w="1803"/>
            <w:gridCol w:w="1027"/>
            <w:gridCol w:w="3261"/>
            <w:gridCol w:w="1515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Quality criteria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Do the measures identified accurately illustrate achievement of all the quantitative benefits as laid down in the business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Is the plan for capturing information in the future in line with the timescales laid out in the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usiness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Have the managers of the affected operational areas agreed to any required benefits realisation activities and to the feasibility of collecting the metrics contained within the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Have the individuals identified as responsible for capturing information in the future accepted their responsibilities in this regard?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Will the data be accessible by those responsible for measuring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Is it clear who will coordinate this measurement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Benefits realisation plan</w:t>
      </w:r>
    </w:p>
    <w:sectPr>
      <w:footerReference r:id="rId7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40" w:line="259" w:lineRule="auto"/>
      <w:contextualSpacing w:val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80" w:line="259" w:lineRule="auto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