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51F9" w14:textId="74AA483C" w:rsidR="00C8462F" w:rsidRPr="00095D04" w:rsidRDefault="00C8462F" w:rsidP="00113A4C">
      <w:pPr>
        <w:contextualSpacing w:val="0"/>
        <w:jc w:val="center"/>
        <w:rPr>
          <w:b/>
        </w:rPr>
      </w:pPr>
      <w:bookmarkStart w:id="0" w:name="_GoBack"/>
      <w:bookmarkEnd w:id="0"/>
      <w:r w:rsidRPr="00095D04">
        <w:rPr>
          <w:b/>
        </w:rPr>
        <w:t>Declaration of n</w:t>
      </w:r>
      <w:r w:rsidR="00F10382">
        <w:rPr>
          <w:b/>
        </w:rPr>
        <w:t>ational commitment to meet the Beneficial Ownership Transparency Disclosure P</w:t>
      </w:r>
      <w:r w:rsidR="00FF5281">
        <w:rPr>
          <w:b/>
        </w:rPr>
        <w:t>rinciples</w:t>
      </w:r>
    </w:p>
    <w:p w14:paraId="1956E328" w14:textId="77777777" w:rsidR="0003213F" w:rsidRDefault="0003213F" w:rsidP="00113A4C">
      <w:pPr>
        <w:contextualSpacing w:val="0"/>
        <w:jc w:val="both"/>
      </w:pPr>
    </w:p>
    <w:p w14:paraId="07291FDE" w14:textId="2F8C2309" w:rsidR="00A00A27" w:rsidRDefault="00021ECB" w:rsidP="00113A4C">
      <w:pPr>
        <w:contextualSpacing w:val="0"/>
        <w:jc w:val="both"/>
      </w:pPr>
      <w:r>
        <w:rPr>
          <w:u w:val="single"/>
        </w:rPr>
        <w:t xml:space="preserve">A new global norm of </w:t>
      </w:r>
      <w:r w:rsidR="000A2876" w:rsidRPr="00021ECB">
        <w:rPr>
          <w:u w:val="single"/>
        </w:rPr>
        <w:t>beneficial ownership transparency</w:t>
      </w:r>
    </w:p>
    <w:p w14:paraId="3B37030D" w14:textId="77777777" w:rsidR="0074500C" w:rsidRDefault="0074500C" w:rsidP="00113A4C">
      <w:pPr>
        <w:contextualSpacing w:val="0"/>
        <w:jc w:val="both"/>
      </w:pPr>
    </w:p>
    <w:p w14:paraId="663ECBED" w14:textId="032BB4CF" w:rsidR="001C7898" w:rsidRPr="004678D7" w:rsidRDefault="001C7898" w:rsidP="00113A4C">
      <w:pPr>
        <w:contextualSpacing w:val="0"/>
        <w:jc w:val="both"/>
        <w:rPr>
          <w:iCs/>
          <w:lang w:val="en-GB"/>
        </w:rPr>
      </w:pPr>
      <w:r w:rsidRPr="004678D7">
        <w:rPr>
          <w:iCs/>
          <w:lang w:val="en-GB"/>
        </w:rPr>
        <w:t>There has been a growing global momentum to develop a comprehensive framework to enhance beneficial ownership transparency. In November 2014, G20 Leaders adopted the High-Level Principles on Beneficial Ownership Transparency. The Leaders noted that “Improving the transparency of legal persons and arrangements is important to protect the integrity and transparency of the global financial system</w:t>
      </w:r>
      <w:r w:rsidR="0031610E">
        <w:rPr>
          <w:iCs/>
          <w:lang w:val="en-GB"/>
        </w:rPr>
        <w:t xml:space="preserve">.” Subsequent commitments and actions, </w:t>
      </w:r>
      <w:r w:rsidR="00930FC0">
        <w:rPr>
          <w:iCs/>
          <w:lang w:val="en-GB"/>
        </w:rPr>
        <w:t>by individual countries,</w:t>
      </w:r>
      <w:r w:rsidR="0031610E">
        <w:rPr>
          <w:iCs/>
          <w:lang w:val="en-GB"/>
        </w:rPr>
        <w:t xml:space="preserve"> at the London Anti-Corruption Summit in 2016, </w:t>
      </w:r>
      <w:r w:rsidR="00B25711">
        <w:rPr>
          <w:iCs/>
          <w:lang w:val="en-GB"/>
        </w:rPr>
        <w:t xml:space="preserve">via </w:t>
      </w:r>
      <w:r w:rsidR="00C35EEF">
        <w:rPr>
          <w:iCs/>
          <w:lang w:val="en-GB"/>
        </w:rPr>
        <w:t xml:space="preserve">implementation of </w:t>
      </w:r>
      <w:r w:rsidR="0031610E">
        <w:rPr>
          <w:iCs/>
          <w:lang w:val="en-GB"/>
        </w:rPr>
        <w:t>the European Union</w:t>
      </w:r>
      <w:r w:rsidR="00930FC0">
        <w:rPr>
          <w:iCs/>
          <w:lang w:val="en-GB"/>
        </w:rPr>
        <w:t>’s</w:t>
      </w:r>
      <w:r w:rsidR="0031610E">
        <w:rPr>
          <w:iCs/>
          <w:lang w:val="en-GB"/>
        </w:rPr>
        <w:t xml:space="preserve"> </w:t>
      </w:r>
      <w:r w:rsidR="00930FC0">
        <w:rPr>
          <w:iCs/>
          <w:lang w:val="en-GB"/>
        </w:rPr>
        <w:t>F</w:t>
      </w:r>
      <w:r w:rsidR="0031610E">
        <w:rPr>
          <w:iCs/>
          <w:lang w:val="en-GB"/>
        </w:rPr>
        <w:t xml:space="preserve">ifth </w:t>
      </w:r>
      <w:r w:rsidR="00930FC0">
        <w:rPr>
          <w:iCs/>
          <w:lang w:val="en-GB"/>
        </w:rPr>
        <w:t>Anti-M</w:t>
      </w:r>
      <w:r w:rsidR="0031610E">
        <w:rPr>
          <w:iCs/>
          <w:lang w:val="en-GB"/>
        </w:rPr>
        <w:t xml:space="preserve">oney </w:t>
      </w:r>
      <w:r w:rsidR="00930FC0">
        <w:rPr>
          <w:iCs/>
          <w:lang w:val="en-GB"/>
        </w:rPr>
        <w:t>L</w:t>
      </w:r>
      <w:r w:rsidR="0031610E">
        <w:rPr>
          <w:iCs/>
          <w:lang w:val="en-GB"/>
        </w:rPr>
        <w:t xml:space="preserve">aundering </w:t>
      </w:r>
      <w:r w:rsidR="00930FC0">
        <w:rPr>
          <w:iCs/>
          <w:lang w:val="en-GB"/>
        </w:rPr>
        <w:t>D</w:t>
      </w:r>
      <w:r w:rsidR="0031610E">
        <w:rPr>
          <w:iCs/>
          <w:lang w:val="en-GB"/>
        </w:rPr>
        <w:t xml:space="preserve">irective, </w:t>
      </w:r>
      <w:r w:rsidR="00C35EEF">
        <w:rPr>
          <w:iCs/>
          <w:lang w:val="en-GB"/>
        </w:rPr>
        <w:t xml:space="preserve">and through endeavours such as the global Extractives Industries Transparency Initiative (EITI) </w:t>
      </w:r>
      <w:r w:rsidR="00930FC0">
        <w:rPr>
          <w:iCs/>
          <w:lang w:val="en-GB"/>
        </w:rPr>
        <w:t>show a growing</w:t>
      </w:r>
      <w:r w:rsidR="00924C86">
        <w:rPr>
          <w:iCs/>
          <w:lang w:val="en-GB"/>
        </w:rPr>
        <w:t xml:space="preserve"> rec</w:t>
      </w:r>
      <w:r w:rsidR="00930FC0">
        <w:rPr>
          <w:iCs/>
          <w:lang w:val="en-GB"/>
        </w:rPr>
        <w:t>ognition of the importance of</w:t>
      </w:r>
      <w:r w:rsidRPr="004678D7">
        <w:rPr>
          <w:iCs/>
          <w:lang w:val="en-GB"/>
        </w:rPr>
        <w:t xml:space="preserve"> ben</w:t>
      </w:r>
      <w:r w:rsidR="004678D7">
        <w:rPr>
          <w:iCs/>
          <w:lang w:val="en-GB"/>
        </w:rPr>
        <w:t>eficial ownership transparency.</w:t>
      </w:r>
      <w:r w:rsidR="00DE1B55">
        <w:rPr>
          <w:iCs/>
          <w:lang w:val="en-GB"/>
        </w:rPr>
        <w:t xml:space="preserve"> As </w:t>
      </w:r>
      <w:r w:rsidR="00113A4C">
        <w:rPr>
          <w:iCs/>
          <w:lang w:val="en-GB"/>
        </w:rPr>
        <w:t xml:space="preserve">a group of </w:t>
      </w:r>
      <w:r w:rsidR="00DE1B55">
        <w:rPr>
          <w:iCs/>
          <w:lang w:val="en-GB"/>
        </w:rPr>
        <w:t>countries</w:t>
      </w:r>
      <w:r w:rsidR="00113A4C">
        <w:rPr>
          <w:iCs/>
          <w:lang w:val="en-GB"/>
        </w:rPr>
        <w:t>,</w:t>
      </w:r>
      <w:r w:rsidR="00DE1B55">
        <w:rPr>
          <w:iCs/>
          <w:lang w:val="en-GB"/>
        </w:rPr>
        <w:t xml:space="preserve"> we </w:t>
      </w:r>
      <w:r w:rsidR="00113A4C">
        <w:rPr>
          <w:iCs/>
          <w:lang w:val="en-GB"/>
        </w:rPr>
        <w:t xml:space="preserve">will </w:t>
      </w:r>
      <w:r w:rsidR="00DE1B55">
        <w:rPr>
          <w:iCs/>
          <w:lang w:val="en-GB"/>
        </w:rPr>
        <w:t>aim to build on this progress and create a new global norm of beneficial ownership transparency across asset classes. We believe that greater transparency of beneficial ownership will</w:t>
      </w:r>
      <w:r w:rsidR="00113A4C">
        <w:rPr>
          <w:iCs/>
          <w:lang w:val="en-GB"/>
        </w:rPr>
        <w:t xml:space="preserve"> over time</w:t>
      </w:r>
      <w:r w:rsidR="00DE1B55">
        <w:rPr>
          <w:iCs/>
          <w:lang w:val="en-GB"/>
        </w:rPr>
        <w:t xml:space="preserve"> h</w:t>
      </w:r>
      <w:r w:rsidR="00113A4C">
        <w:rPr>
          <w:iCs/>
          <w:lang w:val="en-GB"/>
        </w:rPr>
        <w:t xml:space="preserve">elp to reduce the abuse of </w:t>
      </w:r>
      <w:r w:rsidR="00DE1B55">
        <w:rPr>
          <w:iCs/>
          <w:lang w:val="en-GB"/>
        </w:rPr>
        <w:t>assets for criminal means.</w:t>
      </w:r>
    </w:p>
    <w:p w14:paraId="4537365C" w14:textId="77777777" w:rsidR="001C7898" w:rsidRDefault="001C7898" w:rsidP="00113A4C">
      <w:pPr>
        <w:contextualSpacing w:val="0"/>
        <w:jc w:val="both"/>
      </w:pPr>
    </w:p>
    <w:p w14:paraId="4453F6DD" w14:textId="46F87898" w:rsidR="002C5F3D" w:rsidRDefault="00E4356A" w:rsidP="00113A4C">
      <w:pPr>
        <w:contextualSpacing w:val="0"/>
        <w:jc w:val="both"/>
        <w:rPr>
          <w:rFonts w:eastAsia="MS Gothic"/>
          <w:lang w:val="en-GB" w:bidi="en-US"/>
        </w:rPr>
      </w:pPr>
      <w:r>
        <w:t>Assets like c</w:t>
      </w:r>
      <w:r w:rsidR="0003213F">
        <w:t>orporate structures</w:t>
      </w:r>
      <w:r>
        <w:t xml:space="preserve"> and </w:t>
      </w:r>
      <w:r w:rsidR="008E7BCA">
        <w:t>trusts</w:t>
      </w:r>
      <w:r w:rsidR="0003213F">
        <w:t xml:space="preserve"> can and should be a force for good, </w:t>
      </w:r>
      <w:r w:rsidR="00A6622C">
        <w:t xml:space="preserve">and in the </w:t>
      </w:r>
      <w:r w:rsidR="00D855E8">
        <w:t>majority</w:t>
      </w:r>
      <w:r w:rsidR="00A6622C">
        <w:t xml:space="preserve"> of cases across the globe they are. However</w:t>
      </w:r>
      <w:r w:rsidR="002C5F3D">
        <w:t>,</w:t>
      </w:r>
      <w:r w:rsidR="00A6622C">
        <w:t xml:space="preserve"> we know</w:t>
      </w:r>
      <w:r w:rsidR="002C5F3D">
        <w:t xml:space="preserve"> that companies and other </w:t>
      </w:r>
      <w:r w:rsidR="008E7BCA">
        <w:t xml:space="preserve">legal </w:t>
      </w:r>
      <w:r w:rsidR="002C5F3D">
        <w:t xml:space="preserve">entities </w:t>
      </w:r>
      <w:r w:rsidR="0095467A">
        <w:t>can be</w:t>
      </w:r>
      <w:r w:rsidR="002C5F3D">
        <w:t xml:space="preserve"> abused to facilitate corrup</w:t>
      </w:r>
      <w:r w:rsidR="00B2503D">
        <w:t>tion, serious and organised crime, and tax evasion</w:t>
      </w:r>
      <w:r w:rsidR="004F5F88">
        <w:t>. T</w:t>
      </w:r>
      <w:r w:rsidR="0095467A">
        <w:t>ransnational by nature, t</w:t>
      </w:r>
      <w:r w:rsidR="004F5F88">
        <w:t>he</w:t>
      </w:r>
      <w:r w:rsidR="002C5F3D">
        <w:t>s</w:t>
      </w:r>
      <w:r w:rsidR="004F5F88">
        <w:t>e</w:t>
      </w:r>
      <w:r w:rsidR="002C5F3D">
        <w:t xml:space="preserve"> criminal activities </w:t>
      </w:r>
      <w:r w:rsidR="004F5F88">
        <w:t>generate</w:t>
      </w:r>
      <w:r w:rsidR="002C5F3D">
        <w:t xml:space="preserve"> real costs for markets and for people, and especially hurt the poorest in society. </w:t>
      </w:r>
    </w:p>
    <w:p w14:paraId="7994E180" w14:textId="77777777" w:rsidR="002C5F3D" w:rsidRDefault="002C5F3D" w:rsidP="00113A4C">
      <w:pPr>
        <w:contextualSpacing w:val="0"/>
        <w:jc w:val="both"/>
        <w:rPr>
          <w:rFonts w:eastAsia="MS Gothic"/>
          <w:lang w:val="en-GB" w:bidi="en-US"/>
        </w:rPr>
      </w:pPr>
    </w:p>
    <w:p w14:paraId="0614E832" w14:textId="6CB5E9AB" w:rsidR="00DF0336" w:rsidRDefault="00E761F8" w:rsidP="00113A4C">
      <w:pPr>
        <w:contextualSpacing w:val="0"/>
        <w:jc w:val="both"/>
        <w:rPr>
          <w:rFonts w:eastAsia="Cambria"/>
        </w:rPr>
      </w:pPr>
      <w:r w:rsidRPr="002B4C0A">
        <w:t>R</w:t>
      </w:r>
      <w:r w:rsidR="0003213F" w:rsidRPr="002B4C0A">
        <w:t>ebalanc</w:t>
      </w:r>
      <w:r w:rsidRPr="002B4C0A">
        <w:t>ing</w:t>
      </w:r>
      <w:r w:rsidR="0003213F" w:rsidRPr="002B4C0A">
        <w:t xml:space="preserve"> markets and rebuild</w:t>
      </w:r>
      <w:r w:rsidRPr="002B4C0A">
        <w:t>ing</w:t>
      </w:r>
      <w:r w:rsidR="0003213F" w:rsidRPr="002B4C0A">
        <w:t xml:space="preserve"> trust between governments, companies, and everyday citizens</w:t>
      </w:r>
      <w:r w:rsidRPr="002B4C0A">
        <w:t xml:space="preserve"> will require</w:t>
      </w:r>
      <w:r w:rsidR="0095467A">
        <w:t xml:space="preserve"> an equal effort of</w:t>
      </w:r>
      <w:r w:rsidRPr="002B4C0A">
        <w:t xml:space="preserve"> </w:t>
      </w:r>
      <w:r w:rsidR="0095467A">
        <w:t xml:space="preserve">transnational </w:t>
      </w:r>
      <w:r w:rsidRPr="002B4C0A">
        <w:t xml:space="preserve">action on the part of governments. </w:t>
      </w:r>
      <w:r w:rsidR="00DF0336">
        <w:rPr>
          <w:rFonts w:eastAsia="Cambria"/>
        </w:rPr>
        <w:t>That is why w</w:t>
      </w:r>
      <w:r w:rsidR="00DF0336" w:rsidRPr="00B85755">
        <w:rPr>
          <w:rFonts w:eastAsia="Cambria"/>
        </w:rPr>
        <w:t>e</w:t>
      </w:r>
      <w:r w:rsidR="00DF0336">
        <w:rPr>
          <w:rFonts w:eastAsia="Cambria"/>
        </w:rPr>
        <w:t>,</w:t>
      </w:r>
      <w:r w:rsidR="00DF0336" w:rsidRPr="00B85755">
        <w:rPr>
          <w:rFonts w:eastAsia="Cambria"/>
        </w:rPr>
        <w:t xml:space="preserve"> as a group of countries</w:t>
      </w:r>
      <w:r w:rsidR="00DF0336">
        <w:rPr>
          <w:rFonts w:eastAsia="Cambria"/>
        </w:rPr>
        <w:t>,</w:t>
      </w:r>
      <w:r w:rsidR="00DF0336" w:rsidRPr="00B85755">
        <w:rPr>
          <w:rFonts w:eastAsia="Cambria"/>
        </w:rPr>
        <w:t xml:space="preserve"> </w:t>
      </w:r>
      <w:r w:rsidR="00DF0336">
        <w:rPr>
          <w:rFonts w:eastAsia="Cambria"/>
        </w:rPr>
        <w:t>are united on the</w:t>
      </w:r>
      <w:r w:rsidR="00DF0336" w:rsidRPr="00B85755">
        <w:rPr>
          <w:rFonts w:eastAsia="Cambria"/>
        </w:rPr>
        <w:t xml:space="preserve"> importance of </w:t>
      </w:r>
      <w:r w:rsidR="00DF0336">
        <w:rPr>
          <w:rFonts w:eastAsia="Cambria"/>
        </w:rPr>
        <w:t>the transparency of</w:t>
      </w:r>
      <w:r w:rsidR="00DF0336" w:rsidRPr="00B85755">
        <w:rPr>
          <w:rFonts w:eastAsia="Cambria"/>
        </w:rPr>
        <w:t xml:space="preserve"> beneficial ownership information</w:t>
      </w:r>
      <w:r w:rsidR="00DF0336">
        <w:rPr>
          <w:rFonts w:eastAsia="Cambria"/>
        </w:rPr>
        <w:t xml:space="preserve">, promoted through ambitious </w:t>
      </w:r>
      <w:r w:rsidR="00DF0336" w:rsidRPr="00B85755">
        <w:rPr>
          <w:rFonts w:eastAsia="Cambria"/>
        </w:rPr>
        <w:t xml:space="preserve">implementation of existing international standards and initiatives and </w:t>
      </w:r>
      <w:r w:rsidR="00DF0336">
        <w:rPr>
          <w:rFonts w:eastAsia="Cambria"/>
        </w:rPr>
        <w:t>the build</w:t>
      </w:r>
      <w:r w:rsidR="00E4356A">
        <w:rPr>
          <w:rFonts w:eastAsia="Cambria"/>
        </w:rPr>
        <w:t>-</w:t>
      </w:r>
      <w:r w:rsidR="00DF0336">
        <w:rPr>
          <w:rFonts w:eastAsia="Cambria"/>
        </w:rPr>
        <w:t xml:space="preserve">up of </w:t>
      </w:r>
      <w:r w:rsidR="00E4356A">
        <w:rPr>
          <w:rFonts w:eastAsia="Cambria"/>
        </w:rPr>
        <w:t xml:space="preserve">emerging </w:t>
      </w:r>
      <w:r w:rsidR="00DF0336">
        <w:rPr>
          <w:rFonts w:eastAsia="Cambria"/>
        </w:rPr>
        <w:t xml:space="preserve">worldwide norms and best practice. </w:t>
      </w:r>
      <w:r w:rsidR="00E4356A">
        <w:rPr>
          <w:rFonts w:eastAsia="Cambria"/>
        </w:rPr>
        <w:t>G</w:t>
      </w:r>
      <w:r w:rsidR="00DF0336" w:rsidRPr="00B85755">
        <w:rPr>
          <w:rFonts w:eastAsia="Cambria"/>
        </w:rPr>
        <w:t xml:space="preserve">lobal illicit financial flows are channeled through a range of </w:t>
      </w:r>
      <w:r w:rsidR="00DF0336">
        <w:rPr>
          <w:rFonts w:eastAsia="Cambria"/>
        </w:rPr>
        <w:t>legal entities and assets</w:t>
      </w:r>
      <w:r w:rsidR="00DF0336" w:rsidRPr="00B85755">
        <w:rPr>
          <w:rFonts w:eastAsia="Cambria"/>
        </w:rPr>
        <w:t xml:space="preserve"> </w:t>
      </w:r>
      <w:r w:rsidR="00113A4C">
        <w:rPr>
          <w:rFonts w:eastAsia="Cambria"/>
        </w:rPr>
        <w:t xml:space="preserve">including </w:t>
      </w:r>
      <w:r w:rsidR="00113A4C" w:rsidRPr="00B85755">
        <w:rPr>
          <w:rFonts w:eastAsia="Cambria"/>
        </w:rPr>
        <w:t>companies</w:t>
      </w:r>
      <w:r w:rsidR="00DF0336" w:rsidRPr="00B85755">
        <w:rPr>
          <w:rFonts w:eastAsia="Cambria"/>
        </w:rPr>
        <w:t xml:space="preserve">, </w:t>
      </w:r>
      <w:r w:rsidR="00DF0336">
        <w:rPr>
          <w:rFonts w:eastAsia="Cambria"/>
        </w:rPr>
        <w:t xml:space="preserve">trusts, </w:t>
      </w:r>
      <w:r w:rsidR="00E4356A">
        <w:rPr>
          <w:rFonts w:eastAsia="Cambria"/>
        </w:rPr>
        <w:t>properties</w:t>
      </w:r>
      <w:r w:rsidR="00DF0336" w:rsidRPr="00B85755">
        <w:rPr>
          <w:rFonts w:eastAsia="Cambria"/>
        </w:rPr>
        <w:t xml:space="preserve"> </w:t>
      </w:r>
      <w:r w:rsidR="00E4356A">
        <w:rPr>
          <w:rFonts w:eastAsia="Cambria"/>
        </w:rPr>
        <w:t>and</w:t>
      </w:r>
      <w:r w:rsidR="00DF0336" w:rsidRPr="00B85755">
        <w:rPr>
          <w:rFonts w:eastAsia="Cambria"/>
        </w:rPr>
        <w:t xml:space="preserve"> other high value commodities</w:t>
      </w:r>
      <w:r w:rsidR="00DF0336">
        <w:rPr>
          <w:rFonts w:eastAsia="Cambria"/>
        </w:rPr>
        <w:t xml:space="preserve">. </w:t>
      </w:r>
    </w:p>
    <w:p w14:paraId="40DD5E72" w14:textId="77777777" w:rsidR="00DF0336" w:rsidRDefault="00DF0336" w:rsidP="00113A4C">
      <w:pPr>
        <w:contextualSpacing w:val="0"/>
        <w:jc w:val="both"/>
        <w:rPr>
          <w:rFonts w:eastAsia="Cambria"/>
        </w:rPr>
      </w:pPr>
    </w:p>
    <w:p w14:paraId="01EA6C80" w14:textId="2D1FBC13" w:rsidR="006018E9" w:rsidRDefault="00DF0336" w:rsidP="00113A4C">
      <w:pPr>
        <w:contextualSpacing w:val="0"/>
        <w:jc w:val="both"/>
      </w:pPr>
      <w:r>
        <w:rPr>
          <w:rFonts w:eastAsia="Cambria"/>
        </w:rPr>
        <w:t xml:space="preserve">As a group of vanguard countries, we will collectively drive </w:t>
      </w:r>
      <w:r w:rsidRPr="00B85755">
        <w:rPr>
          <w:rFonts w:eastAsia="Cambria"/>
        </w:rPr>
        <w:t>greater beneficial ownership transparency</w:t>
      </w:r>
      <w:r>
        <w:rPr>
          <w:rFonts w:eastAsia="Cambria"/>
        </w:rPr>
        <w:t>, including through free to access and publicly accessible registers, across a diverse range of</w:t>
      </w:r>
      <w:r w:rsidRPr="00B85755">
        <w:rPr>
          <w:rFonts w:eastAsia="Cambria"/>
        </w:rPr>
        <w:t xml:space="preserve"> </w:t>
      </w:r>
      <w:r>
        <w:rPr>
          <w:rFonts w:eastAsia="Cambria"/>
        </w:rPr>
        <w:t xml:space="preserve">countries and </w:t>
      </w:r>
      <w:r w:rsidRPr="00B85755">
        <w:rPr>
          <w:rFonts w:eastAsia="Cambria"/>
        </w:rPr>
        <w:t>asset classes wher</w:t>
      </w:r>
      <w:r>
        <w:rPr>
          <w:rFonts w:eastAsia="Cambria"/>
        </w:rPr>
        <w:t>ever possible. In the near term, to demonstrate tangible progress, o</w:t>
      </w:r>
      <w:r w:rsidRPr="00B85755">
        <w:rPr>
          <w:rFonts w:eastAsia="Cambria"/>
        </w:rPr>
        <w:t xml:space="preserve">ur priority focus will be on </w:t>
      </w:r>
      <w:r>
        <w:rPr>
          <w:rFonts w:eastAsia="Cambria"/>
        </w:rPr>
        <w:t xml:space="preserve">creating a new global norm of beneficial ownership transparency for </w:t>
      </w:r>
      <w:r w:rsidRPr="00B85755">
        <w:rPr>
          <w:rFonts w:eastAsia="Cambria"/>
        </w:rPr>
        <w:t>companies</w:t>
      </w:r>
      <w:r w:rsidR="002C5F3D" w:rsidRPr="002B4C0A">
        <w:t xml:space="preserve">. </w:t>
      </w:r>
    </w:p>
    <w:p w14:paraId="55852DB0" w14:textId="77777777" w:rsidR="006018E9" w:rsidRDefault="006018E9" w:rsidP="00113A4C">
      <w:pPr>
        <w:contextualSpacing w:val="0"/>
        <w:jc w:val="both"/>
      </w:pPr>
    </w:p>
    <w:p w14:paraId="14512504" w14:textId="357EE544" w:rsidR="00B70777" w:rsidRPr="00504468" w:rsidRDefault="00DF0336" w:rsidP="00113A4C">
      <w:pPr>
        <w:contextualSpacing w:val="0"/>
        <w:jc w:val="both"/>
      </w:pPr>
      <w:r>
        <w:t xml:space="preserve">In order to end the criminal abuse of companies, the world needs efficient ways to share and access high-quality information about who owns and controls them. </w:t>
      </w:r>
      <w:r w:rsidR="006018E9">
        <w:t xml:space="preserve">As leading governments committed to transparency, </w:t>
      </w:r>
      <w:r w:rsidR="0004528E">
        <w:t>integrity</w:t>
      </w:r>
      <w:r w:rsidR="006018E9">
        <w:t xml:space="preserve">, and </w:t>
      </w:r>
      <w:r w:rsidR="0004528E">
        <w:t>open</w:t>
      </w:r>
      <w:r w:rsidR="006018E9">
        <w:t xml:space="preserve"> access to</w:t>
      </w:r>
      <w:r w:rsidR="0004528E">
        <w:t xml:space="preserve"> public sector</w:t>
      </w:r>
      <w:r w:rsidR="006018E9">
        <w:t xml:space="preserve"> information, w</w:t>
      </w:r>
      <w:r w:rsidR="00B3193A">
        <w:t>e a</w:t>
      </w:r>
      <w:r w:rsidR="0095467A">
        <w:t>re working together to build a new global norm of accessible beneficial ownership information that is linked across borders.</w:t>
      </w:r>
      <w:r w:rsidR="006018E9" w:rsidRPr="002B4C0A" w:rsidDel="0095467A">
        <w:t xml:space="preserve"> </w:t>
      </w:r>
      <w:r w:rsidR="006018E9">
        <w:t>W</w:t>
      </w:r>
      <w:r w:rsidR="0003213F">
        <w:t>e</w:t>
      </w:r>
      <w:r w:rsidR="00874A94">
        <w:t xml:space="preserve"> expect the</w:t>
      </w:r>
      <w:r w:rsidR="00B70777" w:rsidRPr="00504468">
        <w:t xml:space="preserve"> benefits</w:t>
      </w:r>
      <w:r w:rsidR="00874A94">
        <w:t xml:space="preserve"> of </w:t>
      </w:r>
      <w:r w:rsidR="006018E9">
        <w:t>a new norm of</w:t>
      </w:r>
      <w:r w:rsidR="00874A94">
        <w:t xml:space="preserve"> beneficial ownership transparency will include</w:t>
      </w:r>
      <w:r w:rsidR="00B70777" w:rsidRPr="00504468">
        <w:t>:</w:t>
      </w:r>
    </w:p>
    <w:p w14:paraId="61456EC2" w14:textId="77777777" w:rsidR="00B70777" w:rsidRPr="00504468" w:rsidRDefault="00B70777" w:rsidP="00113A4C">
      <w:pPr>
        <w:contextualSpacing w:val="0"/>
        <w:jc w:val="both"/>
      </w:pPr>
    </w:p>
    <w:p w14:paraId="0C214B70" w14:textId="0772A821" w:rsidR="00B70777" w:rsidRDefault="00874A94" w:rsidP="00113A4C">
      <w:pPr>
        <w:pStyle w:val="ListParagraph"/>
        <w:numPr>
          <w:ilvl w:val="0"/>
          <w:numId w:val="4"/>
        </w:numPr>
        <w:contextualSpacing w:val="0"/>
        <w:jc w:val="both"/>
      </w:pPr>
      <w:r>
        <w:t>Enhancing our ability to fight</w:t>
      </w:r>
      <w:r w:rsidR="00B70777" w:rsidRPr="00504468">
        <w:t xml:space="preserve"> corruption, money laundering and terrorist financing and other illicit financial flows as the risks of detection are</w:t>
      </w:r>
      <w:r w:rsidR="002B02C9">
        <w:t xml:space="preserve"> significantly</w:t>
      </w:r>
      <w:r w:rsidR="00B70777" w:rsidRPr="00504468">
        <w:t xml:space="preserve"> increased through better access to information by law enforcement and civil soc</w:t>
      </w:r>
      <w:r>
        <w:t>iety, which acts as a deterrent.</w:t>
      </w:r>
    </w:p>
    <w:p w14:paraId="161B1BBF" w14:textId="77777777" w:rsidR="00E761F8" w:rsidRPr="00504468" w:rsidRDefault="00E761F8" w:rsidP="00113A4C">
      <w:pPr>
        <w:pStyle w:val="ListParagraph"/>
        <w:contextualSpacing w:val="0"/>
        <w:jc w:val="both"/>
      </w:pPr>
    </w:p>
    <w:p w14:paraId="1625246A" w14:textId="368A135C" w:rsidR="00B70777" w:rsidRPr="00504468" w:rsidRDefault="00B70777" w:rsidP="00113A4C">
      <w:pPr>
        <w:pStyle w:val="ListParagraph"/>
        <w:numPr>
          <w:ilvl w:val="0"/>
          <w:numId w:val="4"/>
        </w:numPr>
        <w:contextualSpacing w:val="0"/>
        <w:jc w:val="both"/>
      </w:pPr>
      <w:r w:rsidRPr="00504468">
        <w:t>Improving the business environment through creating trust, levelling the playing field and promoting open competition including on public procurement and improv</w:t>
      </w:r>
      <w:r w:rsidR="00874A94">
        <w:t xml:space="preserve">ing due diligence for </w:t>
      </w:r>
      <w:r w:rsidR="005518C3">
        <w:t>traders</w:t>
      </w:r>
      <w:r w:rsidR="006F1228">
        <w:t xml:space="preserve"> and </w:t>
      </w:r>
      <w:r w:rsidR="00874A94">
        <w:t>investors.</w:t>
      </w:r>
    </w:p>
    <w:p w14:paraId="29F2B201" w14:textId="77777777" w:rsidR="00B70777" w:rsidRPr="00504468" w:rsidRDefault="00B70777" w:rsidP="00113A4C">
      <w:pPr>
        <w:pStyle w:val="ListParagraph"/>
        <w:jc w:val="both"/>
      </w:pPr>
    </w:p>
    <w:p w14:paraId="1C9E78C3" w14:textId="604DAFE1" w:rsidR="00C46700" w:rsidRDefault="0083223B" w:rsidP="00113A4C">
      <w:pPr>
        <w:pStyle w:val="ListParagraph"/>
        <w:numPr>
          <w:ilvl w:val="0"/>
          <w:numId w:val="4"/>
        </w:numPr>
        <w:contextualSpacing w:val="0"/>
        <w:jc w:val="both"/>
      </w:pPr>
      <w:r w:rsidRPr="00504468">
        <w:t>Addressing tax evasion as tax authorities can better understand the interests of both cor</w:t>
      </w:r>
      <w:r w:rsidR="00874A94">
        <w:t>porate and individual taxpayers.</w:t>
      </w:r>
    </w:p>
    <w:p w14:paraId="3AAD9304" w14:textId="77777777" w:rsidR="00E761F8" w:rsidRDefault="00E761F8" w:rsidP="00113A4C">
      <w:pPr>
        <w:pStyle w:val="ListParagraph"/>
        <w:jc w:val="both"/>
      </w:pPr>
    </w:p>
    <w:p w14:paraId="5688017A" w14:textId="3227DFED" w:rsidR="00E761F8" w:rsidRPr="00504468" w:rsidRDefault="006018E9" w:rsidP="00113A4C">
      <w:pPr>
        <w:pStyle w:val="ListParagraph"/>
        <w:numPr>
          <w:ilvl w:val="0"/>
          <w:numId w:val="4"/>
        </w:numPr>
        <w:contextualSpacing w:val="0"/>
        <w:jc w:val="both"/>
      </w:pPr>
      <w:r>
        <w:t xml:space="preserve">Generating </w:t>
      </w:r>
      <w:r w:rsidR="00874A94">
        <w:t>n</w:t>
      </w:r>
      <w:r w:rsidR="00E761F8">
        <w:t xml:space="preserve">etwork effects, </w:t>
      </w:r>
      <w:r w:rsidR="00874A94">
        <w:t xml:space="preserve">through sharing best practice and </w:t>
      </w:r>
      <w:r w:rsidR="00E761F8">
        <w:t>encouraging countries around the world to follow suit.</w:t>
      </w:r>
    </w:p>
    <w:p w14:paraId="07EBE10A" w14:textId="7F24E8C3" w:rsidR="006173E0" w:rsidRPr="00504468" w:rsidRDefault="006173E0" w:rsidP="00113A4C">
      <w:pPr>
        <w:contextualSpacing w:val="0"/>
        <w:jc w:val="both"/>
        <w:rPr>
          <w:rFonts w:eastAsia="Times New Roman"/>
        </w:rPr>
      </w:pPr>
    </w:p>
    <w:p w14:paraId="72EAE608" w14:textId="7A8560BA" w:rsidR="0003213F" w:rsidRPr="00021ECB" w:rsidRDefault="00021ECB" w:rsidP="00113A4C">
      <w:pPr>
        <w:jc w:val="both"/>
        <w:rPr>
          <w:color w:val="222222"/>
          <w:highlight w:val="white"/>
          <w:u w:val="single"/>
        </w:rPr>
      </w:pPr>
      <w:r>
        <w:rPr>
          <w:color w:val="222222"/>
          <w:highlight w:val="white"/>
          <w:u w:val="single"/>
        </w:rPr>
        <w:t>Our aims</w:t>
      </w:r>
    </w:p>
    <w:p w14:paraId="3887B51F" w14:textId="77777777" w:rsidR="0003213F" w:rsidRDefault="0003213F" w:rsidP="00113A4C">
      <w:pPr>
        <w:jc w:val="both"/>
        <w:rPr>
          <w:b/>
          <w:color w:val="222222"/>
          <w:highlight w:val="white"/>
        </w:rPr>
      </w:pPr>
    </w:p>
    <w:p w14:paraId="493C359C" w14:textId="3726B0A0" w:rsidR="0003213F" w:rsidRPr="00504468" w:rsidRDefault="0003213F" w:rsidP="00113A4C">
      <w:pPr>
        <w:contextualSpacing w:val="0"/>
        <w:jc w:val="both"/>
      </w:pPr>
      <w:r w:rsidRPr="00504468">
        <w:t>A</w:t>
      </w:r>
      <w:r w:rsidR="00021ECB">
        <w:t>s a</w:t>
      </w:r>
      <w:r w:rsidRPr="00504468">
        <w:t xml:space="preserve"> group of vanguard </w:t>
      </w:r>
      <w:r w:rsidR="00AE47ED" w:rsidRPr="00504468">
        <w:t>countries,</w:t>
      </w:r>
      <w:r w:rsidR="00021ECB">
        <w:t xml:space="preserve"> we</w:t>
      </w:r>
      <w:r w:rsidRPr="00504468">
        <w:t xml:space="preserve"> will look to shift the global norms of </w:t>
      </w:r>
      <w:r w:rsidR="00021ECB">
        <w:t xml:space="preserve">company </w:t>
      </w:r>
      <w:r w:rsidRPr="00504468">
        <w:t>beneficial ownership transparency by 2023</w:t>
      </w:r>
      <w:r w:rsidR="00021ECB">
        <w:t>, by committing our</w:t>
      </w:r>
      <w:r w:rsidRPr="00504468">
        <w:t xml:space="preserve">selves to developing </w:t>
      </w:r>
      <w:r w:rsidR="00375772">
        <w:t xml:space="preserve">domestic </w:t>
      </w:r>
      <w:r w:rsidRPr="00504468">
        <w:t>public registers of company beneficial ownership, support efforts globally and regionally for other countries to do the same and participate as members of a Beneficial Ownership Leadership Group (</w:t>
      </w:r>
      <w:r>
        <w:t>the Leadership Group</w:t>
      </w:r>
      <w:r w:rsidRPr="00504468">
        <w:t xml:space="preserve">). The </w:t>
      </w:r>
      <w:r>
        <w:t>Leadership Group</w:t>
      </w:r>
      <w:r w:rsidR="00021ECB">
        <w:t xml:space="preserve"> will work towards ensuring official development assistance</w:t>
      </w:r>
      <w:r w:rsidRPr="00504468">
        <w:t xml:space="preserve"> eligible countries</w:t>
      </w:r>
      <w:r>
        <w:rPr>
          <w:rStyle w:val="FootnoteReference"/>
        </w:rPr>
        <w:footnoteReference w:id="1"/>
      </w:r>
      <w:r w:rsidRPr="00504468">
        <w:t xml:space="preserve"> receive technical and financial support to implement their </w:t>
      </w:r>
      <w:r w:rsidR="00613919">
        <w:t xml:space="preserve">own beneficial ownership transparency </w:t>
      </w:r>
      <w:r w:rsidRPr="00504468">
        <w:t>commitments.</w:t>
      </w:r>
    </w:p>
    <w:p w14:paraId="25E1893A" w14:textId="77777777" w:rsidR="0003213F" w:rsidRPr="00504468" w:rsidRDefault="0003213F" w:rsidP="00113A4C">
      <w:pPr>
        <w:contextualSpacing w:val="0"/>
        <w:jc w:val="both"/>
      </w:pPr>
    </w:p>
    <w:p w14:paraId="2CDD6E8A" w14:textId="377AB27C" w:rsidR="0003213F" w:rsidRDefault="0003213F" w:rsidP="00113A4C">
      <w:pPr>
        <w:contextualSpacing w:val="0"/>
        <w:jc w:val="both"/>
        <w:rPr>
          <w:rFonts w:eastAsia="Times New Roman"/>
        </w:rPr>
      </w:pPr>
      <w:r w:rsidRPr="00504468">
        <w:rPr>
          <w:rFonts w:eastAsia="Times New Roman"/>
        </w:rPr>
        <w:t xml:space="preserve">The </w:t>
      </w:r>
      <w:r>
        <w:rPr>
          <w:rFonts w:eastAsia="Times New Roman"/>
        </w:rPr>
        <w:t>Leadership</w:t>
      </w:r>
      <w:r w:rsidRPr="00504468">
        <w:rPr>
          <w:rFonts w:eastAsia="Times New Roman"/>
        </w:rPr>
        <w:t xml:space="preserve"> </w:t>
      </w:r>
      <w:r>
        <w:rPr>
          <w:rFonts w:eastAsia="Times New Roman"/>
        </w:rPr>
        <w:t>Group is</w:t>
      </w:r>
      <w:r w:rsidRPr="00504468">
        <w:rPr>
          <w:rFonts w:eastAsia="Times New Roman"/>
        </w:rPr>
        <w:t xml:space="preserve"> a transnational </w:t>
      </w:r>
      <w:r>
        <w:rPr>
          <w:rFonts w:eastAsia="Times New Roman"/>
        </w:rPr>
        <w:t>coalition</w:t>
      </w:r>
      <w:r w:rsidRPr="00504468">
        <w:rPr>
          <w:rFonts w:eastAsia="Times New Roman"/>
        </w:rPr>
        <w:t xml:space="preserve"> that </w:t>
      </w:r>
      <w:r w:rsidR="00C46FD9">
        <w:rPr>
          <w:rFonts w:eastAsia="Times New Roman"/>
        </w:rPr>
        <w:t>will both drive</w:t>
      </w:r>
      <w:r w:rsidRPr="00504468">
        <w:rPr>
          <w:rFonts w:eastAsia="Times New Roman"/>
        </w:rPr>
        <w:t xml:space="preserve"> a global policy shift toward</w:t>
      </w:r>
      <w:r w:rsidR="00C46FD9">
        <w:rPr>
          <w:rFonts w:eastAsia="Times New Roman"/>
        </w:rPr>
        <w:t>s</w:t>
      </w:r>
      <w:r w:rsidRPr="00504468">
        <w:rPr>
          <w:rFonts w:eastAsia="Times New Roman"/>
        </w:rPr>
        <w:t xml:space="preserve"> free, open</w:t>
      </w:r>
      <w:r w:rsidR="00C46FD9">
        <w:rPr>
          <w:rFonts w:eastAsia="Times New Roman"/>
        </w:rPr>
        <w:t xml:space="preserve"> source publicly</w:t>
      </w:r>
      <w:r w:rsidRPr="00504468">
        <w:rPr>
          <w:rFonts w:eastAsia="Times New Roman"/>
        </w:rPr>
        <w:t xml:space="preserve"> accessible beneficial ownership data</w:t>
      </w:r>
      <w:r w:rsidR="00613919">
        <w:rPr>
          <w:rFonts w:eastAsia="Times New Roman"/>
        </w:rPr>
        <w:t xml:space="preserve"> for companies, and set</w:t>
      </w:r>
      <w:r w:rsidRPr="00504468">
        <w:rPr>
          <w:rFonts w:eastAsia="Times New Roman"/>
        </w:rPr>
        <w:t xml:space="preserve"> ambitious international best practice on beneficial ownership transparency. Members are governments that are united by a common vision of simple access by business, civil society, and other government actors to public, open data </w:t>
      </w:r>
      <w:r w:rsidR="00613919">
        <w:rPr>
          <w:rFonts w:eastAsia="Times New Roman"/>
        </w:rPr>
        <w:t xml:space="preserve">of corporate </w:t>
      </w:r>
      <w:r w:rsidRPr="00504468">
        <w:rPr>
          <w:rFonts w:eastAsia="Times New Roman"/>
        </w:rPr>
        <w:t xml:space="preserve">beneficial ownership that is linked transnationally. The </w:t>
      </w:r>
      <w:r>
        <w:rPr>
          <w:rFonts w:eastAsia="Times New Roman"/>
        </w:rPr>
        <w:t>Leadership Group</w:t>
      </w:r>
      <w:r w:rsidR="00613919">
        <w:rPr>
          <w:rFonts w:eastAsia="Times New Roman"/>
        </w:rPr>
        <w:t xml:space="preserve"> will be guided by</w:t>
      </w:r>
      <w:r w:rsidRPr="00504468">
        <w:rPr>
          <w:rFonts w:eastAsia="Times New Roman"/>
        </w:rPr>
        <w:t xml:space="preserve"> </w:t>
      </w:r>
      <w:r>
        <w:rPr>
          <w:rFonts w:eastAsia="Times New Roman"/>
        </w:rPr>
        <w:t>a</w:t>
      </w:r>
      <w:r w:rsidR="00163C19">
        <w:rPr>
          <w:rFonts w:eastAsia="Times New Roman"/>
        </w:rPr>
        <w:t xml:space="preserve"> terms-of-</w:t>
      </w:r>
      <w:r w:rsidRPr="00504468">
        <w:rPr>
          <w:rFonts w:eastAsia="Times New Roman"/>
        </w:rPr>
        <w:t>reference and meet twice each year in the margins of inte</w:t>
      </w:r>
      <w:r>
        <w:rPr>
          <w:rFonts w:eastAsia="Times New Roman"/>
        </w:rPr>
        <w:t>rnational for</w:t>
      </w:r>
      <w:r w:rsidRPr="00504468">
        <w:rPr>
          <w:rFonts w:eastAsia="Times New Roman"/>
        </w:rPr>
        <w:t>a.</w:t>
      </w:r>
    </w:p>
    <w:p w14:paraId="7678EB73" w14:textId="77777777" w:rsidR="0003213F" w:rsidRDefault="0003213F" w:rsidP="00113A4C">
      <w:pPr>
        <w:contextualSpacing w:val="0"/>
        <w:jc w:val="both"/>
        <w:rPr>
          <w:rFonts w:eastAsia="Times New Roman"/>
        </w:rPr>
      </w:pPr>
    </w:p>
    <w:p w14:paraId="70F94C12" w14:textId="1508BDED" w:rsidR="002B49D9" w:rsidRPr="00504468" w:rsidRDefault="0003213F" w:rsidP="00113A4C">
      <w:pPr>
        <w:contextualSpacing w:val="0"/>
        <w:jc w:val="both"/>
        <w:rPr>
          <w:rFonts w:eastAsia="Times New Roman"/>
        </w:rPr>
      </w:pPr>
      <w:r>
        <w:rPr>
          <w:rFonts w:eastAsia="Times New Roman"/>
        </w:rPr>
        <w:t xml:space="preserve">The Open Government Partnership </w:t>
      </w:r>
      <w:r w:rsidR="00E761F8">
        <w:rPr>
          <w:rFonts w:eastAsia="Times New Roman"/>
        </w:rPr>
        <w:t xml:space="preserve">(OGP) </w:t>
      </w:r>
      <w:r>
        <w:rPr>
          <w:rFonts w:eastAsia="Times New Roman"/>
        </w:rPr>
        <w:t>will serve as a platform for rooting this</w:t>
      </w:r>
      <w:r w:rsidR="00251EB3">
        <w:rPr>
          <w:rFonts w:eastAsia="Times New Roman"/>
        </w:rPr>
        <w:t xml:space="preserve"> ambition at the national level</w:t>
      </w:r>
      <w:r>
        <w:rPr>
          <w:rFonts w:eastAsia="Times New Roman"/>
        </w:rPr>
        <w:t xml:space="preserve"> and encouraging the building of best practice. OpenOwnership will facilitate the building of best practice and </w:t>
      </w:r>
      <w:r w:rsidR="00E761F8">
        <w:rPr>
          <w:rFonts w:eastAsia="Times New Roman"/>
        </w:rPr>
        <w:t>provide tailored support to members</w:t>
      </w:r>
      <w:r>
        <w:rPr>
          <w:rFonts w:eastAsia="Times New Roman"/>
        </w:rPr>
        <w:t xml:space="preserve"> of the Leadership Group in </w:t>
      </w:r>
      <w:r w:rsidR="006018E9">
        <w:rPr>
          <w:rFonts w:eastAsia="Times New Roman"/>
        </w:rPr>
        <w:t xml:space="preserve">developing action plans and </w:t>
      </w:r>
      <w:r>
        <w:rPr>
          <w:rFonts w:eastAsia="Times New Roman"/>
        </w:rPr>
        <w:t>impl</w:t>
      </w:r>
      <w:r w:rsidR="00FF5281">
        <w:rPr>
          <w:rFonts w:eastAsia="Times New Roman"/>
        </w:rPr>
        <w:t>ementing the Disclosure Principles</w:t>
      </w:r>
      <w:r w:rsidR="00251EB3">
        <w:rPr>
          <w:rFonts w:eastAsia="Times New Roman"/>
        </w:rPr>
        <w:t xml:space="preserve"> for beneficial ownership data</w:t>
      </w:r>
      <w:r>
        <w:rPr>
          <w:rFonts w:eastAsia="Times New Roman"/>
        </w:rPr>
        <w:t>.</w:t>
      </w:r>
      <w:r w:rsidR="00F31E50">
        <w:rPr>
          <w:rFonts w:eastAsia="Times New Roman"/>
        </w:rPr>
        <w:t xml:space="preserve"> The Disclosure Principles are</w:t>
      </w:r>
      <w:r w:rsidR="00E761F8">
        <w:rPr>
          <w:rFonts w:eastAsia="Times New Roman"/>
        </w:rPr>
        <w:t xml:space="preserve"> mutually reinforcing with commitments</w:t>
      </w:r>
      <w:r w:rsidR="00251EB3">
        <w:rPr>
          <w:rFonts w:eastAsia="Times New Roman"/>
        </w:rPr>
        <w:t xml:space="preserve"> countries already have</w:t>
      </w:r>
      <w:r w:rsidR="00E761F8">
        <w:rPr>
          <w:rFonts w:eastAsia="Times New Roman"/>
        </w:rPr>
        <w:t xml:space="preserve"> in place via OGP National Action Plans and the Extractive Industries Transparency Initiative standard. </w:t>
      </w:r>
    </w:p>
    <w:p w14:paraId="5D8C9D4A" w14:textId="77777777" w:rsidR="00117903" w:rsidRDefault="00117903" w:rsidP="00113A4C">
      <w:pPr>
        <w:contextualSpacing w:val="0"/>
        <w:jc w:val="both"/>
        <w:rPr>
          <w:b/>
          <w:u w:val="single"/>
        </w:rPr>
      </w:pPr>
    </w:p>
    <w:p w14:paraId="0477D694" w14:textId="77777777" w:rsidR="00113A4C" w:rsidRDefault="00113A4C" w:rsidP="00113A4C">
      <w:pPr>
        <w:contextualSpacing w:val="0"/>
        <w:jc w:val="both"/>
        <w:rPr>
          <w:u w:val="single"/>
        </w:rPr>
      </w:pPr>
    </w:p>
    <w:p w14:paraId="4703B8CD" w14:textId="77777777" w:rsidR="00113A4C" w:rsidRDefault="00113A4C" w:rsidP="00113A4C">
      <w:pPr>
        <w:contextualSpacing w:val="0"/>
        <w:jc w:val="both"/>
        <w:rPr>
          <w:u w:val="single"/>
        </w:rPr>
      </w:pPr>
    </w:p>
    <w:p w14:paraId="69FE3B05" w14:textId="222E10BE" w:rsidR="00117903" w:rsidRPr="00205FEE" w:rsidRDefault="00B548F1" w:rsidP="00113A4C">
      <w:pPr>
        <w:contextualSpacing w:val="0"/>
        <w:jc w:val="both"/>
        <w:rPr>
          <w:u w:val="single"/>
        </w:rPr>
      </w:pPr>
      <w:r>
        <w:rPr>
          <w:u w:val="single"/>
        </w:rPr>
        <w:t>Disclosure Principles</w:t>
      </w:r>
      <w:r w:rsidR="00205FEE" w:rsidRPr="00205FEE">
        <w:rPr>
          <w:u w:val="single"/>
        </w:rPr>
        <w:t xml:space="preserve"> for Beneficial O</w:t>
      </w:r>
      <w:r w:rsidR="00C8462F" w:rsidRPr="00205FEE">
        <w:rPr>
          <w:u w:val="single"/>
        </w:rPr>
        <w:t xml:space="preserve">wnership </w:t>
      </w:r>
      <w:r w:rsidR="00205FEE" w:rsidRPr="00205FEE">
        <w:rPr>
          <w:u w:val="single"/>
        </w:rPr>
        <w:t>D</w:t>
      </w:r>
      <w:r w:rsidR="00C8462F" w:rsidRPr="00205FEE">
        <w:rPr>
          <w:u w:val="single"/>
        </w:rPr>
        <w:t xml:space="preserve">ata </w:t>
      </w:r>
    </w:p>
    <w:p w14:paraId="7731DE56" w14:textId="77777777" w:rsidR="0003213F" w:rsidRDefault="0003213F" w:rsidP="00113A4C">
      <w:pPr>
        <w:contextualSpacing w:val="0"/>
        <w:jc w:val="both"/>
        <w:rPr>
          <w:b/>
          <w:u w:val="single"/>
        </w:rPr>
      </w:pPr>
    </w:p>
    <w:p w14:paraId="08ECAFFC" w14:textId="2D472EA6" w:rsidR="00233FBB" w:rsidRDefault="00E761F8" w:rsidP="00113A4C">
      <w:pPr>
        <w:contextualSpacing w:val="0"/>
        <w:jc w:val="both"/>
        <w:rPr>
          <w:color w:val="222222"/>
          <w:highlight w:val="white"/>
        </w:rPr>
      </w:pPr>
      <w:r>
        <w:rPr>
          <w:color w:val="222222"/>
          <w:highlight w:val="white"/>
        </w:rPr>
        <w:t>Members of the B</w:t>
      </w:r>
      <w:r w:rsidR="00205FEE">
        <w:rPr>
          <w:color w:val="222222"/>
          <w:highlight w:val="white"/>
        </w:rPr>
        <w:t>eneficial Ownership Leadership G</w:t>
      </w:r>
      <w:r>
        <w:rPr>
          <w:color w:val="222222"/>
          <w:highlight w:val="white"/>
        </w:rPr>
        <w:t xml:space="preserve">roup commit to the following </w:t>
      </w:r>
      <w:r w:rsidRPr="008E1B50">
        <w:rPr>
          <w:b/>
          <w:color w:val="222222"/>
          <w:highlight w:val="white"/>
        </w:rPr>
        <w:t>principles</w:t>
      </w:r>
      <w:r>
        <w:rPr>
          <w:color w:val="222222"/>
          <w:highlight w:val="white"/>
        </w:rPr>
        <w:t>:</w:t>
      </w:r>
    </w:p>
    <w:p w14:paraId="09830B84" w14:textId="77777777" w:rsidR="0003213F" w:rsidRDefault="0003213F" w:rsidP="00113A4C">
      <w:pPr>
        <w:contextualSpacing w:val="0"/>
        <w:jc w:val="both"/>
        <w:rPr>
          <w:color w:val="222222"/>
          <w:highlight w:val="white"/>
        </w:rPr>
      </w:pPr>
    </w:p>
    <w:p w14:paraId="53F2D202" w14:textId="5B0F3A7D" w:rsidR="00E761F8" w:rsidRPr="00E761F8" w:rsidRDefault="00E761F8" w:rsidP="00113A4C">
      <w:pPr>
        <w:pStyle w:val="ListParagraph"/>
        <w:numPr>
          <w:ilvl w:val="0"/>
          <w:numId w:val="4"/>
        </w:numPr>
        <w:jc w:val="both"/>
        <w:rPr>
          <w:color w:val="222222"/>
          <w:highlight w:val="white"/>
        </w:rPr>
      </w:pPr>
      <w:r>
        <w:t xml:space="preserve">Publishing </w:t>
      </w:r>
      <w:r w:rsidR="00E12368">
        <w:t xml:space="preserve">company </w:t>
      </w:r>
      <w:r>
        <w:t>beneficial ownership data that is f</w:t>
      </w:r>
      <w:r w:rsidR="00233FBB">
        <w:t>reely downloadable, searchable, and reusable by the public, without a fee, proprietary softwar</w:t>
      </w:r>
      <w:r w:rsidR="008E1B50">
        <w:t>e, or the need for registration.</w:t>
      </w:r>
    </w:p>
    <w:p w14:paraId="48C7E8DA" w14:textId="5479A5AA" w:rsidR="00233FBB" w:rsidRPr="00E761F8" w:rsidRDefault="00233FBB" w:rsidP="00113A4C">
      <w:pPr>
        <w:pStyle w:val="ListParagraph"/>
        <w:numPr>
          <w:ilvl w:val="0"/>
          <w:numId w:val="4"/>
        </w:numPr>
        <w:jc w:val="both"/>
        <w:rPr>
          <w:color w:val="222222"/>
          <w:highlight w:val="white"/>
        </w:rPr>
      </w:pPr>
      <w:r w:rsidRPr="00E761F8">
        <w:rPr>
          <w:color w:val="222222"/>
          <w:highlight w:val="white"/>
        </w:rPr>
        <w:t>Implementing progressively ambitious best practice in beneficial ownership transparency, across technical, legislative, regulatory, and administrati</w:t>
      </w:r>
      <w:r w:rsidR="008E1B50">
        <w:rPr>
          <w:color w:val="222222"/>
          <w:highlight w:val="white"/>
        </w:rPr>
        <w:t>ve parameters.</w:t>
      </w:r>
    </w:p>
    <w:p w14:paraId="0AA87A00" w14:textId="630388FF" w:rsidR="00233FBB" w:rsidRPr="0003213F" w:rsidRDefault="00E761F8" w:rsidP="00113A4C">
      <w:pPr>
        <w:pStyle w:val="ListParagraph"/>
        <w:numPr>
          <w:ilvl w:val="0"/>
          <w:numId w:val="4"/>
        </w:numPr>
        <w:jc w:val="both"/>
      </w:pPr>
      <w:r>
        <w:t>Committing resources</w:t>
      </w:r>
      <w:r w:rsidR="00233FBB">
        <w:t xml:space="preserve"> to enable improvements and iterations to d</w:t>
      </w:r>
      <w:r w:rsidR="008E1B50">
        <w:t>ata quality and standardisation.</w:t>
      </w:r>
      <w:r w:rsidR="00233FBB">
        <w:t xml:space="preserve"> </w:t>
      </w:r>
    </w:p>
    <w:p w14:paraId="7D616AD7" w14:textId="79D56089" w:rsidR="00E761F8" w:rsidRDefault="00233FBB" w:rsidP="00113A4C">
      <w:pPr>
        <w:pStyle w:val="ListParagraph"/>
        <w:numPr>
          <w:ilvl w:val="0"/>
          <w:numId w:val="4"/>
        </w:numPr>
        <w:jc w:val="both"/>
        <w:rPr>
          <w:color w:val="222222"/>
          <w:highlight w:val="white"/>
        </w:rPr>
      </w:pPr>
      <w:r w:rsidRPr="00E761F8">
        <w:t xml:space="preserve">Contributing to the building of best practice, </w:t>
      </w:r>
      <w:r w:rsidR="008E1B50">
        <w:t>including by recognis</w:t>
      </w:r>
      <w:r w:rsidR="00E761F8">
        <w:t>ing</w:t>
      </w:r>
      <w:r w:rsidR="00E761F8" w:rsidRPr="00E761F8">
        <w:t xml:space="preserve"> the evolving illicit finance threat and consider</w:t>
      </w:r>
      <w:r w:rsidR="00E761F8">
        <w:t>ing</w:t>
      </w:r>
      <w:r w:rsidR="00E761F8" w:rsidRPr="00E761F8">
        <w:t xml:space="preserve"> implementing beneficial</w:t>
      </w:r>
      <w:r w:rsidR="00E761F8">
        <w:rPr>
          <w:color w:val="222222"/>
          <w:highlight w:val="white"/>
        </w:rPr>
        <w:t xml:space="preserve"> ownership transparency beyond companies to a wider group of assets classes.</w:t>
      </w:r>
    </w:p>
    <w:p w14:paraId="122D85F1" w14:textId="40DEB8B6" w:rsidR="00233FBB" w:rsidRPr="00E761F8" w:rsidRDefault="00233FBB" w:rsidP="00113A4C">
      <w:pPr>
        <w:pStyle w:val="ListParagraph"/>
        <w:numPr>
          <w:ilvl w:val="0"/>
          <w:numId w:val="4"/>
        </w:numPr>
        <w:jc w:val="both"/>
      </w:pPr>
      <w:r w:rsidRPr="00E761F8">
        <w:t xml:space="preserve">Working in partnership with civil society and enabling their role as </w:t>
      </w:r>
      <w:r w:rsidR="008E1B50">
        <w:t>watchdogs and users of the data.</w:t>
      </w:r>
    </w:p>
    <w:p w14:paraId="77782492" w14:textId="5705A0F3" w:rsidR="00233FBB" w:rsidRDefault="00233FBB" w:rsidP="00113A4C">
      <w:pPr>
        <w:pStyle w:val="ListParagraph"/>
        <w:numPr>
          <w:ilvl w:val="0"/>
          <w:numId w:val="4"/>
        </w:numPr>
        <w:jc w:val="both"/>
      </w:pPr>
      <w:r w:rsidRPr="00E761F8">
        <w:t>Engaging other partners, including governments and international institutions, to advance the objective of making beneficial ownership transparency a global norm</w:t>
      </w:r>
      <w:r w:rsidR="00E761F8">
        <w:t>; and</w:t>
      </w:r>
    </w:p>
    <w:p w14:paraId="666D5938" w14:textId="37FDED12" w:rsidR="00233FBB" w:rsidRPr="00E761F8" w:rsidRDefault="00E761F8" w:rsidP="00113A4C">
      <w:pPr>
        <w:pStyle w:val="ListParagraph"/>
        <w:numPr>
          <w:ilvl w:val="0"/>
          <w:numId w:val="4"/>
        </w:numPr>
        <w:jc w:val="both"/>
      </w:pPr>
      <w:r>
        <w:t>Contributing to</w:t>
      </w:r>
      <w:r w:rsidRPr="00E761F8">
        <w:t xml:space="preserve"> evaluation and impact assessment of our shared approach</w:t>
      </w:r>
      <w:r>
        <w:t>.</w:t>
      </w:r>
    </w:p>
    <w:p w14:paraId="2BAE08C6" w14:textId="77777777" w:rsidR="00233FBB" w:rsidRDefault="00233FBB" w:rsidP="00113A4C">
      <w:pPr>
        <w:contextualSpacing w:val="0"/>
        <w:jc w:val="both"/>
        <w:rPr>
          <w:b/>
          <w:u w:val="single"/>
        </w:rPr>
      </w:pPr>
    </w:p>
    <w:p w14:paraId="592B170A" w14:textId="43679A6A" w:rsidR="00117903" w:rsidRDefault="00E761F8" w:rsidP="00113A4C">
      <w:pPr>
        <w:contextualSpacing w:val="0"/>
        <w:jc w:val="both"/>
      </w:pPr>
      <w:r>
        <w:t>And, they commit</w:t>
      </w:r>
      <w:r w:rsidR="00C8462F">
        <w:t xml:space="preserve"> to publishing </w:t>
      </w:r>
      <w:r w:rsidR="00E242D3">
        <w:t xml:space="preserve">company </w:t>
      </w:r>
      <w:r w:rsidR="00C8462F">
        <w:t>beneficial ownership data in line with the</w:t>
      </w:r>
      <w:r w:rsidR="00FB75BC">
        <w:t xml:space="preserve">se </w:t>
      </w:r>
      <w:r w:rsidR="00FB75BC" w:rsidRPr="008E1B50">
        <w:rPr>
          <w:b/>
        </w:rPr>
        <w:t>technical parameters</w:t>
      </w:r>
      <w:r w:rsidR="00C8462F">
        <w:t>:</w:t>
      </w:r>
    </w:p>
    <w:p w14:paraId="651FCDDF" w14:textId="77777777" w:rsidR="00117903" w:rsidRDefault="00117903" w:rsidP="00113A4C">
      <w:pPr>
        <w:contextualSpacing w:val="0"/>
        <w:jc w:val="both"/>
        <w:rPr>
          <w:b/>
          <w:u w:val="single"/>
        </w:rPr>
      </w:pPr>
    </w:p>
    <w:p w14:paraId="1029CBCA" w14:textId="30D1F311" w:rsidR="00117903" w:rsidRDefault="00C8462F" w:rsidP="00113A4C">
      <w:pPr>
        <w:pStyle w:val="ListParagraph"/>
        <w:numPr>
          <w:ilvl w:val="0"/>
          <w:numId w:val="4"/>
        </w:numPr>
        <w:jc w:val="both"/>
      </w:pPr>
      <w:r>
        <w:t>Structured, machine-readable format compliant with the Beneficial Ownership Data Standard</w:t>
      </w:r>
      <w:r w:rsidR="00E761F8">
        <w:t>, which provides a technical model for beneficial ownership data that enables the data to be linked transnationally</w:t>
      </w:r>
      <w:r w:rsidR="00A30C56">
        <w:t>.</w:t>
      </w:r>
    </w:p>
    <w:p w14:paraId="06E77E50" w14:textId="5EC60A5E" w:rsidR="00117903" w:rsidRPr="007D786F" w:rsidRDefault="007D786F" w:rsidP="00113A4C">
      <w:pPr>
        <w:pStyle w:val="ListParagraph"/>
        <w:numPr>
          <w:ilvl w:val="0"/>
          <w:numId w:val="4"/>
        </w:numPr>
        <w:jc w:val="both"/>
      </w:pPr>
      <w:r>
        <w:t>P</w:t>
      </w:r>
      <w:r w:rsidR="00C8462F" w:rsidRPr="008A6D6E">
        <w:t xml:space="preserve">rotocols for </w:t>
      </w:r>
      <w:r w:rsidRPr="008A6D6E">
        <w:t>identifying and investigating red flags in the data, including collaboration and accountability between registrars and law enforcement</w:t>
      </w:r>
      <w:r w:rsidR="00AE47ED">
        <w:t>.</w:t>
      </w:r>
      <w:r w:rsidRPr="008A6D6E">
        <w:t xml:space="preserve"> </w:t>
      </w:r>
    </w:p>
    <w:p w14:paraId="5519BBA4" w14:textId="69BF77F0" w:rsidR="007D786F" w:rsidRDefault="007D786F" w:rsidP="00113A4C">
      <w:pPr>
        <w:pStyle w:val="ListParagraph"/>
        <w:numPr>
          <w:ilvl w:val="0"/>
          <w:numId w:val="4"/>
        </w:numPr>
        <w:jc w:val="both"/>
      </w:pPr>
      <w:r>
        <w:t xml:space="preserve">Granular, high-quality, and consistent enough to enable effective red flagging. Members should </w:t>
      </w:r>
      <w:r w:rsidR="00723F0A">
        <w:t xml:space="preserve">take reasonable steps </w:t>
      </w:r>
      <w:r>
        <w:t>on the following issues:</w:t>
      </w:r>
    </w:p>
    <w:p w14:paraId="051A17BB" w14:textId="77777777" w:rsidR="00586756" w:rsidRDefault="00586756" w:rsidP="00113A4C">
      <w:pPr>
        <w:ind w:left="720"/>
        <w:jc w:val="both"/>
      </w:pPr>
    </w:p>
    <w:p w14:paraId="5740700C" w14:textId="7C414823" w:rsidR="007D786F" w:rsidRDefault="007D786F" w:rsidP="00113A4C">
      <w:pPr>
        <w:pStyle w:val="ListParagraph"/>
        <w:numPr>
          <w:ilvl w:val="1"/>
          <w:numId w:val="4"/>
        </w:numPr>
        <w:jc w:val="both"/>
      </w:pPr>
      <w:r>
        <w:t>Closing loopholes left open by high thresholds, banding, lack of historical data, and inconsistent use of identifiers for people and entities</w:t>
      </w:r>
      <w:r w:rsidR="00696352">
        <w:t>.</w:t>
      </w:r>
    </w:p>
    <w:p w14:paraId="5E1764A8" w14:textId="759FCB66" w:rsidR="007D786F" w:rsidRDefault="007D786F" w:rsidP="00113A4C">
      <w:pPr>
        <w:pStyle w:val="ListParagraph"/>
        <w:numPr>
          <w:ilvl w:val="1"/>
          <w:numId w:val="4"/>
        </w:numPr>
        <w:jc w:val="both"/>
      </w:pPr>
      <w:r>
        <w:t xml:space="preserve">Representing the full chain of beneficial ownership, from the ultimate beneficial owner to the target company, including all </w:t>
      </w:r>
      <w:r w:rsidR="00B342DB">
        <w:t xml:space="preserve">domestic </w:t>
      </w:r>
      <w:r>
        <w:t>entities in between</w:t>
      </w:r>
      <w:r w:rsidR="00696352">
        <w:t>.</w:t>
      </w:r>
    </w:p>
    <w:p w14:paraId="427D7B3D" w14:textId="5154E9FC" w:rsidR="007D786F" w:rsidRDefault="007D786F" w:rsidP="00113A4C">
      <w:pPr>
        <w:pStyle w:val="ListParagraph"/>
        <w:numPr>
          <w:ilvl w:val="1"/>
          <w:numId w:val="4"/>
        </w:numPr>
        <w:jc w:val="both"/>
      </w:pPr>
      <w:r>
        <w:t>Ensuring high compliance with requirements to report and update data</w:t>
      </w:r>
      <w:r w:rsidR="00696352">
        <w:t>.</w:t>
      </w:r>
    </w:p>
    <w:p w14:paraId="62EDB6D0" w14:textId="1011B3D6" w:rsidR="007D786F" w:rsidRDefault="007D786F" w:rsidP="00113A4C">
      <w:pPr>
        <w:pStyle w:val="ListParagraph"/>
        <w:numPr>
          <w:ilvl w:val="1"/>
          <w:numId w:val="4"/>
        </w:numPr>
        <w:jc w:val="both"/>
      </w:pPr>
      <w:r>
        <w:t>Authentication of individuals reporting beneficial ownership data</w:t>
      </w:r>
      <w:r w:rsidR="00696352">
        <w:t>.</w:t>
      </w:r>
    </w:p>
    <w:p w14:paraId="6C0D4B96" w14:textId="0B92CC76" w:rsidR="007D786F" w:rsidRDefault="007D786F" w:rsidP="00113A4C">
      <w:pPr>
        <w:pStyle w:val="ListParagraph"/>
        <w:numPr>
          <w:ilvl w:val="1"/>
          <w:numId w:val="4"/>
        </w:numPr>
        <w:jc w:val="both"/>
      </w:pPr>
      <w:r>
        <w:t xml:space="preserve">Good validation of reported </w:t>
      </w:r>
      <w:r w:rsidR="00A66B17">
        <w:t xml:space="preserve">beneficial ownership </w:t>
      </w:r>
      <w:r>
        <w:t>data</w:t>
      </w:r>
      <w:r w:rsidR="00586756">
        <w:t>.</w:t>
      </w:r>
    </w:p>
    <w:p w14:paraId="45871FBC" w14:textId="77777777" w:rsidR="00FD4EBA" w:rsidRDefault="00FD4EBA" w:rsidP="00113A4C">
      <w:pPr>
        <w:ind w:left="1080"/>
        <w:jc w:val="both"/>
      </w:pPr>
    </w:p>
    <w:p w14:paraId="79E56C6B" w14:textId="3B6862A8" w:rsidR="00117903" w:rsidRDefault="00C8462F" w:rsidP="00113A4C">
      <w:pPr>
        <w:pStyle w:val="ListParagraph"/>
        <w:numPr>
          <w:ilvl w:val="0"/>
          <w:numId w:val="4"/>
        </w:numPr>
        <w:jc w:val="both"/>
        <w:rPr>
          <w:color w:val="222222"/>
          <w:highlight w:val="white"/>
        </w:rPr>
      </w:pPr>
      <w:r>
        <w:rPr>
          <w:color w:val="222222"/>
          <w:highlight w:val="white"/>
        </w:rPr>
        <w:t xml:space="preserve">Exemptions regime that protects vulnerable individuals but does not allow abuse, </w:t>
      </w:r>
      <w:r w:rsidR="00B342DB">
        <w:rPr>
          <w:color w:val="222222"/>
          <w:highlight w:val="white"/>
        </w:rPr>
        <w:t xml:space="preserve">as </w:t>
      </w:r>
      <w:r>
        <w:rPr>
          <w:color w:val="222222"/>
          <w:highlight w:val="white"/>
        </w:rPr>
        <w:t>set by best practice</w:t>
      </w:r>
      <w:r w:rsidR="00C1505A">
        <w:rPr>
          <w:color w:val="222222"/>
          <w:highlight w:val="white"/>
        </w:rPr>
        <w:t>.</w:t>
      </w:r>
    </w:p>
    <w:p w14:paraId="33B00059" w14:textId="77777777" w:rsidR="00117903" w:rsidRDefault="00117903" w:rsidP="00113A4C">
      <w:pPr>
        <w:contextualSpacing w:val="0"/>
        <w:jc w:val="both"/>
        <w:rPr>
          <w:color w:val="222222"/>
          <w:highlight w:val="white"/>
        </w:rPr>
      </w:pPr>
    </w:p>
    <w:p w14:paraId="53D64FBD" w14:textId="2EB54133" w:rsidR="002B49D9" w:rsidRPr="005F1F0A" w:rsidRDefault="00113A4C" w:rsidP="00113A4C">
      <w:pPr>
        <w:contextualSpacing w:val="0"/>
        <w:jc w:val="both"/>
        <w:rPr>
          <w:rFonts w:eastAsia="Times New Roman"/>
        </w:rPr>
      </w:pPr>
      <w:r>
        <w:rPr>
          <w:rFonts w:eastAsia="Times New Roman"/>
        </w:rPr>
        <w:t>To</w:t>
      </w:r>
      <w:r w:rsidR="00AE47ED">
        <w:rPr>
          <w:rFonts w:eastAsia="Times New Roman"/>
        </w:rPr>
        <w:t xml:space="preserve"> meet these goals, members</w:t>
      </w:r>
      <w:r w:rsidR="002B49D9" w:rsidRPr="005F1F0A">
        <w:rPr>
          <w:rFonts w:eastAsia="Times New Roman"/>
        </w:rPr>
        <w:t xml:space="preserve"> </w:t>
      </w:r>
      <w:r w:rsidR="002B49D9">
        <w:rPr>
          <w:rFonts w:eastAsia="Times New Roman"/>
        </w:rPr>
        <w:t>commit</w:t>
      </w:r>
      <w:r w:rsidR="002B49D9" w:rsidRPr="005F1F0A">
        <w:rPr>
          <w:rFonts w:eastAsia="Times New Roman"/>
        </w:rPr>
        <w:t xml:space="preserve"> to do the following:</w:t>
      </w:r>
    </w:p>
    <w:p w14:paraId="5FBDE411" w14:textId="77777777" w:rsidR="002B49D9" w:rsidRPr="005F1F0A" w:rsidRDefault="002B49D9" w:rsidP="00113A4C">
      <w:pPr>
        <w:contextualSpacing w:val="0"/>
        <w:jc w:val="both"/>
        <w:rPr>
          <w:rFonts w:eastAsia="Times New Roman"/>
        </w:rPr>
      </w:pPr>
    </w:p>
    <w:p w14:paraId="12E35B49" w14:textId="0F1D9C90" w:rsidR="002B49D9" w:rsidRPr="005F1F0A" w:rsidRDefault="002B49D9" w:rsidP="00113A4C">
      <w:pPr>
        <w:pStyle w:val="ListParagraph"/>
        <w:numPr>
          <w:ilvl w:val="0"/>
          <w:numId w:val="3"/>
        </w:numPr>
        <w:contextualSpacing w:val="0"/>
        <w:jc w:val="both"/>
      </w:pPr>
      <w:r w:rsidRPr="005F1F0A">
        <w:lastRenderedPageBreak/>
        <w:t>Make a public statement to comm</w:t>
      </w:r>
      <w:r w:rsidR="00AE47ED">
        <w:t>it to implement the Beneficial Ownership</w:t>
      </w:r>
      <w:r w:rsidR="0095653D">
        <w:t xml:space="preserve"> </w:t>
      </w:r>
      <w:r w:rsidR="0003565D">
        <w:t xml:space="preserve">Transparency </w:t>
      </w:r>
      <w:r w:rsidR="0095653D">
        <w:t>Disclosure Principles</w:t>
      </w:r>
      <w:r w:rsidRPr="005F1F0A">
        <w:t xml:space="preserve"> by 2023</w:t>
      </w:r>
      <w:r w:rsidR="00AE47ED">
        <w:t>.</w:t>
      </w:r>
    </w:p>
    <w:p w14:paraId="3731C3B5" w14:textId="71691FF4" w:rsidR="002B49D9" w:rsidRPr="005F1F0A" w:rsidRDefault="002B49D9" w:rsidP="00113A4C">
      <w:pPr>
        <w:pStyle w:val="ListParagraph"/>
        <w:numPr>
          <w:ilvl w:val="0"/>
          <w:numId w:val="3"/>
        </w:numPr>
        <w:contextualSpacing w:val="0"/>
        <w:jc w:val="both"/>
      </w:pPr>
      <w:r w:rsidRPr="005F1F0A">
        <w:t xml:space="preserve">Appoint a senior government official and agency to lead the establishment of </w:t>
      </w:r>
      <w:r w:rsidR="00AE47ED">
        <w:t xml:space="preserve">the public national </w:t>
      </w:r>
      <w:r w:rsidR="007310C6">
        <w:t xml:space="preserve">company beneficial ownership </w:t>
      </w:r>
      <w:r w:rsidR="00AE47ED">
        <w:t>register.</w:t>
      </w:r>
    </w:p>
    <w:p w14:paraId="0B2DB579" w14:textId="77777777" w:rsidR="002B49D9" w:rsidRDefault="002B49D9" w:rsidP="00113A4C">
      <w:pPr>
        <w:pStyle w:val="ListParagraph"/>
        <w:numPr>
          <w:ilvl w:val="0"/>
          <w:numId w:val="3"/>
        </w:numPr>
        <w:contextualSpacing w:val="0"/>
        <w:jc w:val="both"/>
      </w:pPr>
      <w:r w:rsidRPr="005F1F0A">
        <w:t>Develop a national action plan laying out the steps for achieving the register.</w:t>
      </w:r>
    </w:p>
    <w:p w14:paraId="01EE4373" w14:textId="77777777" w:rsidR="002B49D9" w:rsidRDefault="002B49D9" w:rsidP="00113A4C">
      <w:pPr>
        <w:contextualSpacing w:val="0"/>
        <w:jc w:val="both"/>
        <w:rPr>
          <w:b/>
          <w:color w:val="222222"/>
          <w:highlight w:val="white"/>
          <w:u w:val="single"/>
        </w:rPr>
      </w:pPr>
    </w:p>
    <w:p w14:paraId="1B48619F" w14:textId="0EF4C810" w:rsidR="007054C4" w:rsidRDefault="007310C6" w:rsidP="00113A4C">
      <w:pPr>
        <w:contextualSpacing w:val="0"/>
        <w:jc w:val="both"/>
        <w:rPr>
          <w:b/>
          <w:color w:val="222222"/>
          <w:highlight w:val="white"/>
          <w:u w:val="single"/>
        </w:rPr>
      </w:pPr>
      <w:r>
        <w:t xml:space="preserve">We strongly </w:t>
      </w:r>
      <w:r w:rsidR="004C0CFF">
        <w:t>welcome countries establishing wider global beneficial ownership transparency norms</w:t>
      </w:r>
      <w:r>
        <w:t xml:space="preserve"> beyond companies, such as public registers for</w:t>
      </w:r>
      <w:r w:rsidR="004C0CFF">
        <w:t xml:space="preserve"> foreign company property ownership, public procurement and trusts</w:t>
      </w:r>
      <w:r>
        <w:t>.</w:t>
      </w:r>
    </w:p>
    <w:p w14:paraId="21BE7CD4" w14:textId="23C79BB9" w:rsidR="007054C4" w:rsidRDefault="007054C4" w:rsidP="00113A4C">
      <w:pPr>
        <w:contextualSpacing w:val="0"/>
        <w:jc w:val="both"/>
        <w:rPr>
          <w:b/>
          <w:color w:val="222222"/>
          <w:highlight w:val="white"/>
          <w:u w:val="single"/>
        </w:rPr>
      </w:pPr>
    </w:p>
    <w:p w14:paraId="3AF19D70" w14:textId="77777777" w:rsidR="00E4356A" w:rsidRDefault="00E4356A" w:rsidP="00113A4C">
      <w:pPr>
        <w:contextualSpacing w:val="0"/>
        <w:jc w:val="both"/>
        <w:rPr>
          <w:b/>
          <w:color w:val="222222"/>
          <w:highlight w:val="white"/>
          <w:u w:val="single"/>
        </w:rPr>
      </w:pPr>
    </w:p>
    <w:p w14:paraId="3BADBF5B" w14:textId="3B255DF4" w:rsidR="007054C4" w:rsidRDefault="00164C7B" w:rsidP="00113A4C">
      <w:pPr>
        <w:contextualSpacing w:val="0"/>
        <w:jc w:val="both"/>
        <w:rPr>
          <w:b/>
          <w:color w:val="222222"/>
          <w:highlight w:val="white"/>
          <w:u w:val="single"/>
        </w:rPr>
      </w:pPr>
      <w:r>
        <w:rPr>
          <w:b/>
          <w:color w:val="222222"/>
          <w:highlight w:val="white"/>
          <w:u w:val="single"/>
        </w:rPr>
        <w:t>Signatories to the Benefici</w:t>
      </w:r>
      <w:r w:rsidR="0046677D">
        <w:rPr>
          <w:b/>
          <w:color w:val="222222"/>
          <w:highlight w:val="white"/>
          <w:u w:val="single"/>
        </w:rPr>
        <w:t xml:space="preserve">al Ownership </w:t>
      </w:r>
      <w:r w:rsidR="00F05848">
        <w:rPr>
          <w:b/>
          <w:color w:val="222222"/>
          <w:highlight w:val="white"/>
          <w:u w:val="single"/>
        </w:rPr>
        <w:t xml:space="preserve">Transparency </w:t>
      </w:r>
      <w:r w:rsidR="0046677D">
        <w:rPr>
          <w:b/>
          <w:color w:val="222222"/>
          <w:highlight w:val="white"/>
          <w:u w:val="single"/>
        </w:rPr>
        <w:t>Disclosure Principles</w:t>
      </w:r>
    </w:p>
    <w:p w14:paraId="02D860EC" w14:textId="06D661F8" w:rsidR="007054C4" w:rsidRDefault="007054C4" w:rsidP="00113A4C">
      <w:pPr>
        <w:contextualSpacing w:val="0"/>
        <w:jc w:val="both"/>
        <w:rPr>
          <w:b/>
          <w:color w:val="222222"/>
          <w:highlight w:val="white"/>
          <w:u w:val="single"/>
        </w:rPr>
      </w:pPr>
    </w:p>
    <w:p w14:paraId="69792428" w14:textId="2E118A74" w:rsidR="006018E9" w:rsidRPr="00164C7B" w:rsidRDefault="00164C7B" w:rsidP="00113A4C">
      <w:pPr>
        <w:contextualSpacing w:val="0"/>
        <w:jc w:val="both"/>
        <w:rPr>
          <w:i/>
          <w:color w:val="222222"/>
          <w:highlight w:val="white"/>
        </w:rPr>
      </w:pPr>
      <w:r w:rsidRPr="00164C7B">
        <w:rPr>
          <w:i/>
          <w:color w:val="222222"/>
          <w:highlight w:val="white"/>
        </w:rPr>
        <w:t>[insert list of countries]</w:t>
      </w:r>
    </w:p>
    <w:p w14:paraId="5EAB2583" w14:textId="66CAEA67" w:rsidR="006018E9" w:rsidRDefault="006018E9" w:rsidP="00113A4C">
      <w:pPr>
        <w:contextualSpacing w:val="0"/>
        <w:jc w:val="both"/>
        <w:rPr>
          <w:b/>
          <w:color w:val="222222"/>
          <w:highlight w:val="white"/>
          <w:u w:val="single"/>
        </w:rPr>
      </w:pPr>
    </w:p>
    <w:p w14:paraId="118F6D21" w14:textId="7E0BEC0C" w:rsidR="006018E9" w:rsidRDefault="006018E9" w:rsidP="00113A4C">
      <w:pPr>
        <w:contextualSpacing w:val="0"/>
        <w:jc w:val="both"/>
        <w:rPr>
          <w:b/>
          <w:color w:val="222222"/>
          <w:highlight w:val="white"/>
          <w:u w:val="single"/>
        </w:rPr>
      </w:pPr>
    </w:p>
    <w:p w14:paraId="2A6B7E86" w14:textId="78E19F63" w:rsidR="007310C6" w:rsidRDefault="007310C6" w:rsidP="00113A4C">
      <w:pPr>
        <w:contextualSpacing w:val="0"/>
        <w:jc w:val="both"/>
        <w:rPr>
          <w:b/>
          <w:color w:val="222222"/>
          <w:highlight w:val="white"/>
          <w:u w:val="single"/>
        </w:rPr>
      </w:pPr>
    </w:p>
    <w:p w14:paraId="02AC8876" w14:textId="2FFBD522" w:rsidR="007310C6" w:rsidRDefault="007310C6" w:rsidP="00113A4C">
      <w:pPr>
        <w:contextualSpacing w:val="0"/>
        <w:jc w:val="both"/>
        <w:rPr>
          <w:b/>
          <w:color w:val="222222"/>
          <w:highlight w:val="white"/>
          <w:u w:val="single"/>
        </w:rPr>
      </w:pPr>
    </w:p>
    <w:p w14:paraId="6B2C5105" w14:textId="77777777" w:rsidR="007310C6" w:rsidRPr="007310C6" w:rsidRDefault="007310C6" w:rsidP="00113A4C">
      <w:pPr>
        <w:contextualSpacing w:val="0"/>
        <w:jc w:val="both"/>
        <w:rPr>
          <w:color w:val="222222"/>
          <w:highlight w:val="white"/>
          <w:u w:val="single"/>
        </w:rPr>
      </w:pPr>
    </w:p>
    <w:p w14:paraId="0E775447" w14:textId="12E8DF8B" w:rsidR="006018E9" w:rsidRDefault="006018E9" w:rsidP="00113A4C">
      <w:pPr>
        <w:contextualSpacing w:val="0"/>
        <w:jc w:val="both"/>
        <w:rPr>
          <w:b/>
          <w:color w:val="222222"/>
          <w:highlight w:val="white"/>
          <w:u w:val="single"/>
        </w:rPr>
      </w:pPr>
    </w:p>
    <w:p w14:paraId="0AD4905F" w14:textId="77777777" w:rsidR="006018E9" w:rsidRDefault="006018E9" w:rsidP="00113A4C">
      <w:pPr>
        <w:contextualSpacing w:val="0"/>
        <w:jc w:val="both"/>
        <w:rPr>
          <w:b/>
          <w:color w:val="222222"/>
          <w:highlight w:val="white"/>
          <w:u w:val="single"/>
        </w:rPr>
      </w:pPr>
    </w:p>
    <w:p w14:paraId="248E82BD" w14:textId="77777777" w:rsidR="00E4356A" w:rsidRDefault="00E4356A" w:rsidP="00113A4C">
      <w:pPr>
        <w:contextualSpacing w:val="0"/>
        <w:jc w:val="both"/>
        <w:rPr>
          <w:b/>
          <w:i/>
          <w:color w:val="222222"/>
          <w:highlight w:val="white"/>
          <w:u w:val="single"/>
        </w:rPr>
      </w:pPr>
    </w:p>
    <w:p w14:paraId="6C96C425" w14:textId="74D57433" w:rsidR="0088384A" w:rsidRPr="002B49D9" w:rsidRDefault="0088384A" w:rsidP="00113A4C">
      <w:pPr>
        <w:contextualSpacing w:val="0"/>
        <w:jc w:val="both"/>
        <w:rPr>
          <w:b/>
          <w:i/>
          <w:color w:val="222222"/>
          <w:highlight w:val="white"/>
          <w:u w:val="single"/>
        </w:rPr>
      </w:pPr>
      <w:r w:rsidRPr="002B49D9">
        <w:rPr>
          <w:b/>
          <w:i/>
          <w:color w:val="222222"/>
          <w:highlight w:val="white"/>
          <w:u w:val="single"/>
        </w:rPr>
        <w:t>Glossary</w:t>
      </w:r>
    </w:p>
    <w:p w14:paraId="38764DAB" w14:textId="77777777" w:rsidR="003E0C99" w:rsidRPr="002B49D9" w:rsidRDefault="003E0C99" w:rsidP="00113A4C">
      <w:pPr>
        <w:contextualSpacing w:val="0"/>
        <w:jc w:val="both"/>
        <w:rPr>
          <w:b/>
          <w:i/>
          <w:color w:val="222222"/>
          <w:highlight w:val="white"/>
        </w:rPr>
      </w:pPr>
    </w:p>
    <w:p w14:paraId="4FA69DBA" w14:textId="190D90BC" w:rsidR="00B342DB" w:rsidRPr="002B49D9" w:rsidRDefault="00B342DB" w:rsidP="00113A4C">
      <w:pPr>
        <w:contextualSpacing w:val="0"/>
        <w:jc w:val="both"/>
        <w:rPr>
          <w:i/>
          <w:color w:val="222222"/>
          <w:highlight w:val="white"/>
        </w:rPr>
      </w:pPr>
      <w:r w:rsidRPr="002B49D9">
        <w:rPr>
          <w:b/>
          <w:i/>
          <w:color w:val="222222"/>
          <w:highlight w:val="white"/>
        </w:rPr>
        <w:t>Authentication:</w:t>
      </w:r>
      <w:r w:rsidRPr="002B49D9">
        <w:rPr>
          <w:i/>
        </w:rPr>
        <w:t xml:space="preserve"> </w:t>
      </w:r>
      <w:r w:rsidRPr="002B49D9">
        <w:rPr>
          <w:i/>
          <w:color w:val="222222"/>
          <w:highlight w:val="white"/>
        </w:rPr>
        <w:t>Ensuring that the person making a statement about beneficial ownership is who they say they are, through e.g. checking ID documents.</w:t>
      </w:r>
    </w:p>
    <w:p w14:paraId="10837053" w14:textId="4BE9E893" w:rsidR="003E0C99" w:rsidRPr="002B49D9" w:rsidRDefault="0088384A" w:rsidP="00113A4C">
      <w:pPr>
        <w:contextualSpacing w:val="0"/>
        <w:jc w:val="both"/>
        <w:rPr>
          <w:i/>
          <w:color w:val="222222"/>
          <w:highlight w:val="white"/>
        </w:rPr>
      </w:pPr>
      <w:r w:rsidRPr="002B49D9">
        <w:rPr>
          <w:b/>
          <w:i/>
          <w:color w:val="222222"/>
          <w:highlight w:val="white"/>
        </w:rPr>
        <w:t xml:space="preserve">Beneficial Ownership Data Standard (BODS): </w:t>
      </w:r>
      <w:r w:rsidRPr="002B49D9">
        <w:rPr>
          <w:i/>
          <w:color w:val="222222"/>
          <w:highlight w:val="white"/>
        </w:rPr>
        <w:t>BODS is a framework for representing information about beneficial ownership. BODS-compliant data is machine-readable by default. See mor</w:t>
      </w:r>
      <w:r w:rsidR="003E0C99" w:rsidRPr="002B49D9">
        <w:rPr>
          <w:i/>
          <w:color w:val="222222"/>
          <w:highlight w:val="white"/>
        </w:rPr>
        <w:t xml:space="preserve">e at standard.openownership.org </w:t>
      </w:r>
    </w:p>
    <w:p w14:paraId="173E0AD5" w14:textId="77777777" w:rsidR="00B342DB" w:rsidRPr="002B49D9" w:rsidRDefault="00B342DB" w:rsidP="00113A4C">
      <w:pPr>
        <w:contextualSpacing w:val="0"/>
        <w:jc w:val="both"/>
        <w:rPr>
          <w:i/>
          <w:color w:val="222222"/>
          <w:highlight w:val="white"/>
        </w:rPr>
      </w:pPr>
      <w:r w:rsidRPr="002B49D9">
        <w:rPr>
          <w:b/>
          <w:i/>
          <w:color w:val="222222"/>
          <w:highlight w:val="white"/>
        </w:rPr>
        <w:t>Machine-readable</w:t>
      </w:r>
      <w:r w:rsidRPr="002B49D9">
        <w:rPr>
          <w:i/>
          <w:color w:val="222222"/>
          <w:highlight w:val="white"/>
        </w:rPr>
        <w:t xml:space="preserve">: Can be read and processed by computers. To contrast, this sentence, as text without any predictable structure, cannot be read and understood by computers. </w:t>
      </w:r>
    </w:p>
    <w:p w14:paraId="4051A544" w14:textId="4528FAF0" w:rsidR="00B342DB" w:rsidRPr="002B49D9" w:rsidRDefault="00B342DB" w:rsidP="00113A4C">
      <w:pPr>
        <w:contextualSpacing w:val="0"/>
        <w:jc w:val="both"/>
        <w:rPr>
          <w:i/>
          <w:color w:val="222222"/>
          <w:highlight w:val="white"/>
        </w:rPr>
      </w:pPr>
      <w:r w:rsidRPr="002B49D9">
        <w:rPr>
          <w:b/>
          <w:i/>
          <w:color w:val="222222"/>
          <w:highlight w:val="white"/>
        </w:rPr>
        <w:t xml:space="preserve">Red </w:t>
      </w:r>
      <w:r w:rsidR="00E761F8" w:rsidRPr="002B49D9">
        <w:rPr>
          <w:b/>
          <w:i/>
          <w:color w:val="222222"/>
          <w:highlight w:val="white"/>
        </w:rPr>
        <w:t xml:space="preserve">flags/red </w:t>
      </w:r>
      <w:r w:rsidRPr="002B49D9">
        <w:rPr>
          <w:b/>
          <w:i/>
          <w:color w:val="222222"/>
          <w:highlight w:val="white"/>
        </w:rPr>
        <w:t>flag</w:t>
      </w:r>
      <w:r w:rsidR="00E761F8" w:rsidRPr="002B49D9">
        <w:rPr>
          <w:b/>
          <w:i/>
          <w:color w:val="222222"/>
          <w:highlight w:val="white"/>
        </w:rPr>
        <w:t>ging</w:t>
      </w:r>
      <w:r w:rsidRPr="002B49D9">
        <w:rPr>
          <w:i/>
          <w:color w:val="222222"/>
          <w:highlight w:val="white"/>
        </w:rPr>
        <w:t>: Red flags are a set of criteria that are consistent with susp</w:t>
      </w:r>
      <w:r w:rsidR="00B6159D" w:rsidRPr="002B49D9">
        <w:rPr>
          <w:i/>
          <w:color w:val="222222"/>
          <w:highlight w:val="white"/>
        </w:rPr>
        <w:t>icious companies or individuals</w:t>
      </w:r>
      <w:r w:rsidRPr="002B49D9">
        <w:rPr>
          <w:i/>
          <w:color w:val="222222"/>
          <w:highlight w:val="white"/>
        </w:rPr>
        <w:t xml:space="preserve"> and can be used to identify these in each Member’s dataset. </w:t>
      </w:r>
      <w:r w:rsidR="00E761F8" w:rsidRPr="002B49D9">
        <w:rPr>
          <w:i/>
          <w:color w:val="222222"/>
          <w:highlight w:val="white"/>
        </w:rPr>
        <w:t>Red flagging is the process of raising red flags.</w:t>
      </w:r>
    </w:p>
    <w:p w14:paraId="70FE5B89" w14:textId="2293045E" w:rsidR="00B342DB" w:rsidRPr="002B49D9" w:rsidRDefault="00B342DB" w:rsidP="00113A4C">
      <w:pPr>
        <w:contextualSpacing w:val="0"/>
        <w:jc w:val="both"/>
        <w:rPr>
          <w:b/>
          <w:i/>
          <w:color w:val="222222"/>
          <w:highlight w:val="white"/>
        </w:rPr>
      </w:pPr>
      <w:r w:rsidRPr="002B49D9">
        <w:rPr>
          <w:b/>
          <w:i/>
          <w:color w:val="222222"/>
          <w:highlight w:val="white"/>
        </w:rPr>
        <w:t xml:space="preserve">Validation: </w:t>
      </w:r>
      <w:r w:rsidRPr="002B49D9">
        <w:rPr>
          <w:i/>
          <w:color w:val="222222"/>
          <w:highlight w:val="white"/>
        </w:rPr>
        <w:t xml:space="preserve">Ensuring that the data submitted is a legitimate possible value e.g. using drop-down menus drawing on widely-used code lists where possible. </w:t>
      </w:r>
    </w:p>
    <w:p w14:paraId="26CE7632" w14:textId="77777777" w:rsidR="0088384A" w:rsidRPr="0088384A" w:rsidRDefault="0088384A" w:rsidP="00113A4C">
      <w:pPr>
        <w:contextualSpacing w:val="0"/>
        <w:jc w:val="both"/>
        <w:rPr>
          <w:color w:val="222222"/>
          <w:highlight w:val="white"/>
        </w:rPr>
      </w:pPr>
    </w:p>
    <w:p w14:paraId="34AA64C3" w14:textId="287CA52E" w:rsidR="00117903" w:rsidRPr="002B49D9" w:rsidRDefault="00C8462F" w:rsidP="00113A4C">
      <w:pPr>
        <w:contextualSpacing w:val="0"/>
        <w:jc w:val="both"/>
        <w:rPr>
          <w:i/>
          <w:color w:val="222222"/>
          <w:highlight w:val="white"/>
        </w:rPr>
      </w:pPr>
      <w:r w:rsidRPr="002B49D9">
        <w:rPr>
          <w:b/>
          <w:i/>
          <w:color w:val="222222"/>
          <w:highlight w:val="white"/>
        </w:rPr>
        <w:t>Useful for reference:</w:t>
      </w:r>
    </w:p>
    <w:p w14:paraId="07E86ABB" w14:textId="77777777" w:rsidR="00117903" w:rsidRPr="002B49D9" w:rsidRDefault="00010944" w:rsidP="00113A4C">
      <w:pPr>
        <w:contextualSpacing w:val="0"/>
        <w:jc w:val="both"/>
        <w:rPr>
          <w:i/>
          <w:color w:val="222222"/>
          <w:highlight w:val="white"/>
        </w:rPr>
      </w:pPr>
      <w:hyperlink r:id="rId8">
        <w:r w:rsidR="00C8462F" w:rsidRPr="002B49D9">
          <w:rPr>
            <w:i/>
            <w:color w:val="1155CC"/>
            <w:highlight w:val="white"/>
            <w:u w:val="single"/>
          </w:rPr>
          <w:t>https://www.open-contracting.org/wp-content/uploads/2016/12/C5declaration.pdf</w:t>
        </w:r>
      </w:hyperlink>
    </w:p>
    <w:p w14:paraId="7A532BE5" w14:textId="77777777" w:rsidR="00117903" w:rsidRPr="002B49D9" w:rsidRDefault="00010944" w:rsidP="00113A4C">
      <w:pPr>
        <w:contextualSpacing w:val="0"/>
        <w:jc w:val="both"/>
        <w:rPr>
          <w:i/>
          <w:color w:val="222222"/>
          <w:highlight w:val="white"/>
        </w:rPr>
      </w:pPr>
      <w:hyperlink r:id="rId9">
        <w:r w:rsidR="00C8462F" w:rsidRPr="002B49D9">
          <w:rPr>
            <w:i/>
            <w:color w:val="1155CC"/>
            <w:highlight w:val="white"/>
            <w:u w:val="single"/>
          </w:rPr>
          <w:t>http://www.publishwhatyoupay.org/pwyp-news/pwyp-calls-for-commitments-on-beneficial-ownership-disclosure-and-protection-of-civic-space/</w:t>
        </w:r>
      </w:hyperlink>
    </w:p>
    <w:p w14:paraId="63C7F796" w14:textId="15A62AC5" w:rsidR="00117903" w:rsidRPr="002B49D9" w:rsidRDefault="00010944" w:rsidP="00113A4C">
      <w:pPr>
        <w:contextualSpacing w:val="0"/>
        <w:jc w:val="both"/>
        <w:rPr>
          <w:i/>
          <w:color w:val="1155CC"/>
          <w:highlight w:val="white"/>
          <w:u w:val="single"/>
        </w:rPr>
      </w:pPr>
      <w:hyperlink r:id="rId10">
        <w:r w:rsidR="00C8462F" w:rsidRPr="002B49D9">
          <w:rPr>
            <w:i/>
            <w:color w:val="1155CC"/>
            <w:highlight w:val="white"/>
            <w:u w:val="single"/>
          </w:rPr>
          <w:t>http://standard.openownership.org/en/schema-beta-2/</w:t>
        </w:r>
      </w:hyperlink>
    </w:p>
    <w:p w14:paraId="22C380D0" w14:textId="158608FE" w:rsidR="0088384A" w:rsidRPr="002B49D9" w:rsidRDefault="00010944" w:rsidP="00113A4C">
      <w:pPr>
        <w:contextualSpacing w:val="0"/>
        <w:jc w:val="both"/>
        <w:rPr>
          <w:i/>
          <w:color w:val="222222"/>
        </w:rPr>
      </w:pPr>
      <w:hyperlink r:id="rId11" w:history="1">
        <w:r w:rsidR="00B6159D" w:rsidRPr="002B49D9">
          <w:rPr>
            <w:rStyle w:val="Hyperlink"/>
            <w:i/>
          </w:rPr>
          <w:t>https://opendatacharter.net/principles/</w:t>
        </w:r>
      </w:hyperlink>
    </w:p>
    <w:sectPr w:rsidR="0088384A" w:rsidRPr="002B49D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07A8" w14:textId="77777777" w:rsidR="00010944" w:rsidRDefault="00010944" w:rsidP="0003213F">
      <w:pPr>
        <w:spacing w:line="240" w:lineRule="auto"/>
      </w:pPr>
      <w:r>
        <w:separator/>
      </w:r>
    </w:p>
  </w:endnote>
  <w:endnote w:type="continuationSeparator" w:id="0">
    <w:p w14:paraId="0823CDF6" w14:textId="77777777" w:rsidR="00010944" w:rsidRDefault="00010944" w:rsidP="00032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E1B2F" w14:textId="726A1CA4" w:rsidR="00B416CA" w:rsidRDefault="00B416CA">
    <w:pPr>
      <w:pStyle w:val="Footer"/>
    </w:pPr>
    <w:r>
      <w:t>Please note that the following document is in draft form.</w:t>
    </w:r>
  </w:p>
  <w:p w14:paraId="09E6420A" w14:textId="77777777" w:rsidR="00785E89" w:rsidRDefault="0078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1EA7" w14:textId="77777777" w:rsidR="00010944" w:rsidRDefault="00010944" w:rsidP="0003213F">
      <w:pPr>
        <w:spacing w:line="240" w:lineRule="auto"/>
      </w:pPr>
      <w:r>
        <w:separator/>
      </w:r>
    </w:p>
  </w:footnote>
  <w:footnote w:type="continuationSeparator" w:id="0">
    <w:p w14:paraId="33DEE7F6" w14:textId="77777777" w:rsidR="00010944" w:rsidRDefault="00010944" w:rsidP="0003213F">
      <w:pPr>
        <w:spacing w:line="240" w:lineRule="auto"/>
      </w:pPr>
      <w:r>
        <w:continuationSeparator/>
      </w:r>
    </w:p>
  </w:footnote>
  <w:footnote w:id="1">
    <w:p w14:paraId="539831A1" w14:textId="5E85BF8C" w:rsidR="0003213F" w:rsidRPr="008E1B50" w:rsidRDefault="0003213F">
      <w:pPr>
        <w:pStyle w:val="FootnoteText"/>
        <w:rPr>
          <w:sz w:val="18"/>
          <w:szCs w:val="18"/>
          <w:lang w:val="en-US"/>
        </w:rPr>
      </w:pPr>
      <w:r>
        <w:rPr>
          <w:rStyle w:val="FootnoteReference"/>
        </w:rPr>
        <w:footnoteRef/>
      </w:r>
      <w:r>
        <w:t xml:space="preserve"> </w:t>
      </w:r>
      <w:r w:rsidRPr="008E1B50">
        <w:rPr>
          <w:sz w:val="18"/>
          <w:szCs w:val="18"/>
          <w:lang w:val="en-US"/>
        </w:rPr>
        <w:t>Countries eligible for overseas development assistance. For a complete list, see http://www.oecd.org/dac/financing-sustainable-development/development-finance-standards/DAC_List_ODA_Recipients2018to2020_flows_En.pdf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175"/>
    <w:multiLevelType w:val="multilevel"/>
    <w:tmpl w:val="BD889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F71934"/>
    <w:multiLevelType w:val="hybridMultilevel"/>
    <w:tmpl w:val="494C5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B56657"/>
    <w:multiLevelType w:val="hybridMultilevel"/>
    <w:tmpl w:val="B16C3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074018"/>
    <w:multiLevelType w:val="multilevel"/>
    <w:tmpl w:val="2C9A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5205F"/>
    <w:multiLevelType w:val="hybridMultilevel"/>
    <w:tmpl w:val="5B8EA920"/>
    <w:lvl w:ilvl="0" w:tplc="910C126E">
      <w:start w:val="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903"/>
    <w:rsid w:val="0000138D"/>
    <w:rsid w:val="00010944"/>
    <w:rsid w:val="00015D08"/>
    <w:rsid w:val="00021ECB"/>
    <w:rsid w:val="0003213F"/>
    <w:rsid w:val="0003565D"/>
    <w:rsid w:val="0004528E"/>
    <w:rsid w:val="000779ED"/>
    <w:rsid w:val="00081C13"/>
    <w:rsid w:val="0009186F"/>
    <w:rsid w:val="00095D04"/>
    <w:rsid w:val="000A2876"/>
    <w:rsid w:val="000A5DE7"/>
    <w:rsid w:val="000F1D91"/>
    <w:rsid w:val="00113A4C"/>
    <w:rsid w:val="00117903"/>
    <w:rsid w:val="0012496F"/>
    <w:rsid w:val="00163C19"/>
    <w:rsid w:val="00164C7B"/>
    <w:rsid w:val="00175610"/>
    <w:rsid w:val="0018692B"/>
    <w:rsid w:val="001C7898"/>
    <w:rsid w:val="001D01B9"/>
    <w:rsid w:val="00205FEE"/>
    <w:rsid w:val="00233FBB"/>
    <w:rsid w:val="00251EB3"/>
    <w:rsid w:val="002577DB"/>
    <w:rsid w:val="00272A2D"/>
    <w:rsid w:val="002B02C9"/>
    <w:rsid w:val="002B49D9"/>
    <w:rsid w:val="002B4C0A"/>
    <w:rsid w:val="002C1618"/>
    <w:rsid w:val="002C5F3D"/>
    <w:rsid w:val="002F336C"/>
    <w:rsid w:val="0031610E"/>
    <w:rsid w:val="003503A0"/>
    <w:rsid w:val="00375772"/>
    <w:rsid w:val="003A49F2"/>
    <w:rsid w:val="003D061F"/>
    <w:rsid w:val="003E0411"/>
    <w:rsid w:val="003E0C99"/>
    <w:rsid w:val="00403814"/>
    <w:rsid w:val="0041463E"/>
    <w:rsid w:val="00414BF1"/>
    <w:rsid w:val="0046677D"/>
    <w:rsid w:val="004678D7"/>
    <w:rsid w:val="004C0CFF"/>
    <w:rsid w:val="004F5F88"/>
    <w:rsid w:val="00504468"/>
    <w:rsid w:val="00532BBC"/>
    <w:rsid w:val="005518C3"/>
    <w:rsid w:val="00577F6C"/>
    <w:rsid w:val="00586756"/>
    <w:rsid w:val="005E60D4"/>
    <w:rsid w:val="005F1F0A"/>
    <w:rsid w:val="006018E9"/>
    <w:rsid w:val="00613919"/>
    <w:rsid w:val="006173E0"/>
    <w:rsid w:val="00630C58"/>
    <w:rsid w:val="00650FE2"/>
    <w:rsid w:val="00696352"/>
    <w:rsid w:val="006A54E6"/>
    <w:rsid w:val="006F1228"/>
    <w:rsid w:val="007054C4"/>
    <w:rsid w:val="00723F0A"/>
    <w:rsid w:val="007243EB"/>
    <w:rsid w:val="007310C6"/>
    <w:rsid w:val="0074500C"/>
    <w:rsid w:val="00774BE0"/>
    <w:rsid w:val="00785E89"/>
    <w:rsid w:val="007C0DB2"/>
    <w:rsid w:val="007D786F"/>
    <w:rsid w:val="00803477"/>
    <w:rsid w:val="0082371F"/>
    <w:rsid w:val="0083223B"/>
    <w:rsid w:val="00874A94"/>
    <w:rsid w:val="0088384A"/>
    <w:rsid w:val="00891E93"/>
    <w:rsid w:val="008A106B"/>
    <w:rsid w:val="008A2600"/>
    <w:rsid w:val="008A6D6E"/>
    <w:rsid w:val="008B66F5"/>
    <w:rsid w:val="008D5649"/>
    <w:rsid w:val="008E1B50"/>
    <w:rsid w:val="008E7BCA"/>
    <w:rsid w:val="00917AF3"/>
    <w:rsid w:val="00924C86"/>
    <w:rsid w:val="00930FC0"/>
    <w:rsid w:val="0095467A"/>
    <w:rsid w:val="0095653D"/>
    <w:rsid w:val="009743AD"/>
    <w:rsid w:val="009E3DD0"/>
    <w:rsid w:val="00A00A27"/>
    <w:rsid w:val="00A1465A"/>
    <w:rsid w:val="00A20B2A"/>
    <w:rsid w:val="00A30C56"/>
    <w:rsid w:val="00A6622C"/>
    <w:rsid w:val="00A66B17"/>
    <w:rsid w:val="00A80CEB"/>
    <w:rsid w:val="00A925C9"/>
    <w:rsid w:val="00AA03FB"/>
    <w:rsid w:val="00AA4E01"/>
    <w:rsid w:val="00AB40D9"/>
    <w:rsid w:val="00AC125A"/>
    <w:rsid w:val="00AE47ED"/>
    <w:rsid w:val="00B2503D"/>
    <w:rsid w:val="00B25711"/>
    <w:rsid w:val="00B30E1B"/>
    <w:rsid w:val="00B3193A"/>
    <w:rsid w:val="00B342DB"/>
    <w:rsid w:val="00B416CA"/>
    <w:rsid w:val="00B548F1"/>
    <w:rsid w:val="00B60764"/>
    <w:rsid w:val="00B6159D"/>
    <w:rsid w:val="00B70777"/>
    <w:rsid w:val="00B85755"/>
    <w:rsid w:val="00BB5430"/>
    <w:rsid w:val="00C1505A"/>
    <w:rsid w:val="00C31C99"/>
    <w:rsid w:val="00C35EEF"/>
    <w:rsid w:val="00C46700"/>
    <w:rsid w:val="00C46FD9"/>
    <w:rsid w:val="00C8462F"/>
    <w:rsid w:val="00CB146A"/>
    <w:rsid w:val="00CB3911"/>
    <w:rsid w:val="00CD1796"/>
    <w:rsid w:val="00CF20C2"/>
    <w:rsid w:val="00D15461"/>
    <w:rsid w:val="00D422C8"/>
    <w:rsid w:val="00D64B9C"/>
    <w:rsid w:val="00D650FF"/>
    <w:rsid w:val="00D855E8"/>
    <w:rsid w:val="00DC6E75"/>
    <w:rsid w:val="00DD78B0"/>
    <w:rsid w:val="00DE1B55"/>
    <w:rsid w:val="00DF0336"/>
    <w:rsid w:val="00DF159B"/>
    <w:rsid w:val="00DF348A"/>
    <w:rsid w:val="00DF7783"/>
    <w:rsid w:val="00E12368"/>
    <w:rsid w:val="00E242D3"/>
    <w:rsid w:val="00E4356A"/>
    <w:rsid w:val="00E761F8"/>
    <w:rsid w:val="00E92F86"/>
    <w:rsid w:val="00EB01A5"/>
    <w:rsid w:val="00EC37EE"/>
    <w:rsid w:val="00ED353E"/>
    <w:rsid w:val="00EE037C"/>
    <w:rsid w:val="00EE150F"/>
    <w:rsid w:val="00EF174C"/>
    <w:rsid w:val="00F05848"/>
    <w:rsid w:val="00F10382"/>
    <w:rsid w:val="00F31E50"/>
    <w:rsid w:val="00F42EBA"/>
    <w:rsid w:val="00F46DEA"/>
    <w:rsid w:val="00F80422"/>
    <w:rsid w:val="00F849CD"/>
    <w:rsid w:val="00FA06D6"/>
    <w:rsid w:val="00FB43B9"/>
    <w:rsid w:val="00FB75BC"/>
    <w:rsid w:val="00FC1995"/>
    <w:rsid w:val="00FC251C"/>
    <w:rsid w:val="00FD4EBA"/>
    <w:rsid w:val="00FF5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DCD4"/>
  <w15:docId w15:val="{D3A7B83C-1BD8-455B-AB95-2F1B7A76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50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0FF"/>
    <w:rPr>
      <w:rFonts w:ascii="Segoe UI" w:hAnsi="Segoe UI" w:cs="Segoe UI"/>
      <w:sz w:val="18"/>
      <w:szCs w:val="18"/>
    </w:rPr>
  </w:style>
  <w:style w:type="paragraph" w:styleId="ListParagraph">
    <w:name w:val="List Paragraph"/>
    <w:basedOn w:val="Normal"/>
    <w:uiPriority w:val="34"/>
    <w:qFormat/>
    <w:rsid w:val="006173E0"/>
    <w:pPr>
      <w:ind w:left="720"/>
    </w:pPr>
  </w:style>
  <w:style w:type="paragraph" w:styleId="CommentSubject">
    <w:name w:val="annotation subject"/>
    <w:basedOn w:val="CommentText"/>
    <w:next w:val="CommentText"/>
    <w:link w:val="CommentSubjectChar"/>
    <w:uiPriority w:val="99"/>
    <w:semiHidden/>
    <w:unhideWhenUsed/>
    <w:rsid w:val="002C1618"/>
    <w:rPr>
      <w:b/>
      <w:bCs/>
    </w:rPr>
  </w:style>
  <w:style w:type="character" w:customStyle="1" w:styleId="CommentSubjectChar">
    <w:name w:val="Comment Subject Char"/>
    <w:basedOn w:val="CommentTextChar"/>
    <w:link w:val="CommentSubject"/>
    <w:uiPriority w:val="99"/>
    <w:semiHidden/>
    <w:rsid w:val="002C1618"/>
    <w:rPr>
      <w:b/>
      <w:bCs/>
      <w:sz w:val="20"/>
      <w:szCs w:val="20"/>
    </w:rPr>
  </w:style>
  <w:style w:type="character" w:styleId="Hyperlink">
    <w:name w:val="Hyperlink"/>
    <w:basedOn w:val="DefaultParagraphFont"/>
    <w:uiPriority w:val="99"/>
    <w:unhideWhenUsed/>
    <w:rsid w:val="00B6159D"/>
    <w:rPr>
      <w:color w:val="0000FF" w:themeColor="hyperlink"/>
      <w:u w:val="single"/>
    </w:rPr>
  </w:style>
  <w:style w:type="character" w:styleId="UnresolvedMention">
    <w:name w:val="Unresolved Mention"/>
    <w:basedOn w:val="DefaultParagraphFont"/>
    <w:uiPriority w:val="99"/>
    <w:semiHidden/>
    <w:unhideWhenUsed/>
    <w:rsid w:val="00B6159D"/>
    <w:rPr>
      <w:color w:val="808080"/>
      <w:shd w:val="clear" w:color="auto" w:fill="E6E6E6"/>
    </w:rPr>
  </w:style>
  <w:style w:type="paragraph" w:styleId="Revision">
    <w:name w:val="Revision"/>
    <w:hidden/>
    <w:uiPriority w:val="99"/>
    <w:semiHidden/>
    <w:rsid w:val="003503A0"/>
    <w:pPr>
      <w:spacing w:line="240" w:lineRule="auto"/>
      <w:contextualSpacing w:val="0"/>
    </w:pPr>
  </w:style>
  <w:style w:type="paragraph" w:styleId="FootnoteText">
    <w:name w:val="footnote text"/>
    <w:basedOn w:val="Normal"/>
    <w:link w:val="FootnoteTextChar"/>
    <w:uiPriority w:val="99"/>
    <w:semiHidden/>
    <w:unhideWhenUsed/>
    <w:rsid w:val="0003213F"/>
    <w:pPr>
      <w:spacing w:line="240" w:lineRule="auto"/>
    </w:pPr>
    <w:rPr>
      <w:sz w:val="20"/>
      <w:szCs w:val="20"/>
    </w:rPr>
  </w:style>
  <w:style w:type="character" w:customStyle="1" w:styleId="FootnoteTextChar">
    <w:name w:val="Footnote Text Char"/>
    <w:basedOn w:val="DefaultParagraphFont"/>
    <w:link w:val="FootnoteText"/>
    <w:uiPriority w:val="99"/>
    <w:semiHidden/>
    <w:rsid w:val="0003213F"/>
    <w:rPr>
      <w:sz w:val="20"/>
      <w:szCs w:val="20"/>
    </w:rPr>
  </w:style>
  <w:style w:type="character" w:styleId="FootnoteReference">
    <w:name w:val="footnote reference"/>
    <w:basedOn w:val="DefaultParagraphFont"/>
    <w:uiPriority w:val="99"/>
    <w:semiHidden/>
    <w:unhideWhenUsed/>
    <w:rsid w:val="0003213F"/>
    <w:rPr>
      <w:vertAlign w:val="superscript"/>
    </w:rPr>
  </w:style>
  <w:style w:type="paragraph" w:styleId="Header">
    <w:name w:val="header"/>
    <w:basedOn w:val="Normal"/>
    <w:link w:val="HeaderChar"/>
    <w:uiPriority w:val="99"/>
    <w:unhideWhenUsed/>
    <w:rsid w:val="00785E89"/>
    <w:pPr>
      <w:tabs>
        <w:tab w:val="center" w:pos="4513"/>
        <w:tab w:val="right" w:pos="9026"/>
      </w:tabs>
      <w:spacing w:line="240" w:lineRule="auto"/>
    </w:pPr>
  </w:style>
  <w:style w:type="character" w:customStyle="1" w:styleId="HeaderChar">
    <w:name w:val="Header Char"/>
    <w:basedOn w:val="DefaultParagraphFont"/>
    <w:link w:val="Header"/>
    <w:uiPriority w:val="99"/>
    <w:rsid w:val="00785E89"/>
  </w:style>
  <w:style w:type="paragraph" w:styleId="Footer">
    <w:name w:val="footer"/>
    <w:basedOn w:val="Normal"/>
    <w:link w:val="FooterChar"/>
    <w:uiPriority w:val="99"/>
    <w:unhideWhenUsed/>
    <w:rsid w:val="00785E89"/>
    <w:pPr>
      <w:tabs>
        <w:tab w:val="center" w:pos="4513"/>
        <w:tab w:val="right" w:pos="9026"/>
      </w:tabs>
      <w:spacing w:line="240" w:lineRule="auto"/>
    </w:pPr>
  </w:style>
  <w:style w:type="character" w:customStyle="1" w:styleId="FooterChar">
    <w:name w:val="Footer Char"/>
    <w:basedOn w:val="DefaultParagraphFont"/>
    <w:link w:val="Footer"/>
    <w:uiPriority w:val="99"/>
    <w:rsid w:val="0078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379">
      <w:bodyDiv w:val="1"/>
      <w:marLeft w:val="0"/>
      <w:marRight w:val="0"/>
      <w:marTop w:val="0"/>
      <w:marBottom w:val="0"/>
      <w:divBdr>
        <w:top w:val="none" w:sz="0" w:space="0" w:color="auto"/>
        <w:left w:val="none" w:sz="0" w:space="0" w:color="auto"/>
        <w:bottom w:val="none" w:sz="0" w:space="0" w:color="auto"/>
        <w:right w:val="none" w:sz="0" w:space="0" w:color="auto"/>
      </w:divBdr>
    </w:div>
    <w:div w:id="67187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contracting.org/wp-content/uploads/2016/12/C5declarat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charter.net/principles/" TargetMode="External"/><Relationship Id="rId5" Type="http://schemas.openxmlformats.org/officeDocument/2006/relationships/webSettings" Target="webSettings.xml"/><Relationship Id="rId10" Type="http://schemas.openxmlformats.org/officeDocument/2006/relationships/hyperlink" Target="http://standard.openownership.org/en/schema-beta-2/" TargetMode="External"/><Relationship Id="rId4" Type="http://schemas.openxmlformats.org/officeDocument/2006/relationships/settings" Target="settings.xml"/><Relationship Id="rId9" Type="http://schemas.openxmlformats.org/officeDocument/2006/relationships/hyperlink" Target="http://www.publishwhatyoupay.org/pwyp-news/pwyp-calls-for-commitments-on-beneficial-ownership-disclosure-and-protection-of-civic-sp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11FD-B79C-466C-8D1F-FCA36BE8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Baisya Rajib</dc:creator>
  <cp:lastModifiedBy>Loren Treisman</cp:lastModifiedBy>
  <cp:revision>15</cp:revision>
  <cp:lastPrinted>2018-12-06T13:16:00Z</cp:lastPrinted>
  <dcterms:created xsi:type="dcterms:W3CDTF">2019-03-04T10:03:00Z</dcterms:created>
  <dcterms:modified xsi:type="dcterms:W3CDTF">2019-05-23T14:00:00Z</dcterms:modified>
</cp:coreProperties>
</file>