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80319C">
      <w:pPr>
        <w:rPr>
          <w:rFonts w:ascii="Times New Roman Regular" w:hAnsi="Times New Roman Regular"/>
          <w:sz w:val="30"/>
          <w:szCs w:val="30"/>
        </w:rPr>
      </w:pPr>
      <w:r>
        <w:rPr>
          <w:rFonts w:ascii="Times New Roman Regular" w:hAnsi="Times New Roman Regular"/>
          <w:sz w:val="30"/>
          <w:szCs w:val="30"/>
        </w:rPr>
        <w:t>The pharmacovigilance analysis of adverse events of erlotinib based on the open access FAERS database</w:t>
      </w:r>
    </w:p>
    <w:p w14:paraId="19FC0EB5">
      <w:pPr>
        <w:rPr>
          <w:rFonts w:ascii="Times New Roman Regular" w:hAnsi="Times New Roman Regular"/>
          <w:sz w:val="24"/>
          <w:szCs w:val="24"/>
        </w:rPr>
      </w:pPr>
    </w:p>
    <w:p w14:paraId="75CCF1D8">
      <w:pPr>
        <w:rPr>
          <w:rFonts w:ascii="Times New Roman Regular" w:hAnsi="Times New Roman Regular"/>
          <w:sz w:val="24"/>
          <w:szCs w:val="24"/>
        </w:rPr>
      </w:pPr>
      <w:bookmarkStart w:id="0" w:name="OLE_LINK63"/>
      <w:bookmarkStart w:id="1" w:name="OLE_LINK62"/>
      <w:r>
        <w:rPr>
          <w:rFonts w:ascii="Times New Roman Regular" w:hAnsi="Times New Roman Regular"/>
          <w:sz w:val="24"/>
          <w:szCs w:val="24"/>
        </w:rPr>
        <w:t xml:space="preserve"> </w:t>
      </w:r>
    </w:p>
    <w:p w14:paraId="057C91FD">
      <w:pPr>
        <w:spacing w:line="360" w:lineRule="auto"/>
        <w:rPr>
          <w:rFonts w:hint="eastAsia" w:ascii="Times New Roman Regular" w:hAnsi="Times New Roman Regular" w:eastAsia="宋体" w:cs="Times New Roman Regular"/>
          <w:sz w:val="24"/>
          <w:szCs w:val="24"/>
          <w:lang w:val="en-US" w:eastAsia="zh-CN"/>
        </w:rPr>
      </w:pPr>
      <w:r>
        <w:rPr>
          <w:rFonts w:hint="default" w:ascii="Times New Roman Regular" w:hAnsi="Times New Roman Regular"/>
          <w:sz w:val="24"/>
          <w:szCs w:val="24"/>
        </w:rPr>
        <w:t>Xiaohong Zhang</w:t>
      </w:r>
      <w:r>
        <w:rPr>
          <w:rFonts w:hint="eastAsia" w:ascii="Times New Roman Regular" w:hAnsi="Times New Roman Regular"/>
          <w:sz w:val="24"/>
          <w:szCs w:val="24"/>
          <w:vertAlign w:val="superscript"/>
          <w:lang w:val="en-US" w:eastAsia="zh-CN"/>
        </w:rPr>
        <w:t>1,b</w:t>
      </w:r>
      <w:r>
        <w:rPr>
          <w:rFonts w:ascii="Times New Roman Regular" w:hAnsi="Times New Roman Regular"/>
          <w:sz w:val="24"/>
          <w:szCs w:val="24"/>
        </w:rPr>
        <w:t xml:space="preserve">, Yan </w:t>
      </w:r>
      <w:r>
        <w:rPr>
          <w:rFonts w:hint="eastAsia" w:ascii="Times New Roman Regular" w:hAnsi="Times New Roman Regular" w:cs="Times New Roman Regular"/>
          <w:sz w:val="24"/>
          <w:szCs w:val="24"/>
        </w:rPr>
        <w:t>Wang</w:t>
      </w:r>
      <w:r>
        <w:rPr>
          <w:rFonts w:hint="eastAsia" w:ascii="Times New Roman Regular" w:hAnsi="Times New Roman Regular" w:cs="Times New Roman Regular"/>
          <w:sz w:val="24"/>
          <w:szCs w:val="24"/>
          <w:vertAlign w:val="superscript"/>
          <w:lang w:val="en-US" w:eastAsia="zh-CN"/>
        </w:rPr>
        <w:t>2</w:t>
      </w:r>
      <w:r>
        <w:rPr>
          <w:rFonts w:ascii="Times New Roman Regular" w:hAnsi="Times New Roman Regular"/>
          <w:sz w:val="24"/>
          <w:szCs w:val="24"/>
          <w:vertAlign w:val="superscript"/>
        </w:rPr>
        <w:t>,</w:t>
      </w:r>
      <w:r>
        <w:rPr>
          <w:rFonts w:hint="eastAsia" w:ascii="Times New Roman Regular" w:hAnsi="Times New Roman Regular"/>
          <w:sz w:val="24"/>
          <w:szCs w:val="24"/>
          <w:vertAlign w:val="superscript"/>
          <w:lang w:val="en-US" w:eastAsia="zh-CN"/>
        </w:rPr>
        <w:t>a</w:t>
      </w:r>
    </w:p>
    <w:p w14:paraId="4B6E10E4">
      <w:pPr>
        <w:keepNext w:val="0"/>
        <w:keepLines w:val="0"/>
        <w:widowControl/>
        <w:suppressLineNumbers w:val="0"/>
        <w:jc w:val="left"/>
        <w:rPr>
          <w:rFonts w:hint="eastAsia" w:ascii="Times New Roman" w:hAnsi="Times New Roman"/>
          <w:sz w:val="24"/>
          <w:szCs w:val="24"/>
          <w:vertAlign w:val="superscript"/>
          <w:lang w:val="en-US" w:eastAsia="zh-CN"/>
        </w:rPr>
      </w:pPr>
      <w:r>
        <w:rPr>
          <w:rFonts w:hint="eastAsia" w:ascii="Times New Roman" w:hAnsi="Times New Roman" w:cs="Times New Roman"/>
          <w:i w:val="0"/>
          <w:iCs w:val="0"/>
          <w:caps w:val="0"/>
          <w:color w:val="000000"/>
          <w:spacing w:val="0"/>
          <w:kern w:val="0"/>
          <w:sz w:val="21"/>
          <w:szCs w:val="21"/>
          <w:shd w:val="clear" w:fill="FFFFFF"/>
          <w:vertAlign w:val="superscript"/>
          <w:lang w:val="en-US" w:eastAsia="zh-CN" w:bidi="ar"/>
        </w:rPr>
        <w:t>a</w:t>
      </w:r>
      <w:r>
        <w:rPr>
          <w:rFonts w:hint="default" w:ascii="Times New Roman" w:hAnsi="Times New Roman" w:eastAsia="宋体" w:cs="Times New Roman"/>
          <w:i w:val="0"/>
          <w:iCs w:val="0"/>
          <w:caps w:val="0"/>
          <w:color w:val="000000"/>
          <w:spacing w:val="0"/>
          <w:kern w:val="0"/>
          <w:sz w:val="21"/>
          <w:szCs w:val="21"/>
          <w:shd w:val="clear" w:fill="FFFFFF"/>
          <w:lang w:val="en-US" w:eastAsia="zh-CN" w:bidi="ar"/>
        </w:rPr>
        <w:t>Medical Reproductive Center, Jiuquan Hospital, Shanghai General Hospital, Jiuquan City, Gansu, China</w:t>
      </w:r>
    </w:p>
    <w:p w14:paraId="4AC73539">
      <w:pPr>
        <w:pStyle w:val="2"/>
        <w:widowControl/>
        <w:spacing w:line="360" w:lineRule="auto"/>
        <w:rPr>
          <w:rFonts w:hint="default" w:ascii="Times New Roman Regular" w:hAnsi="Times New Roman Regular" w:eastAsia="Arial Narrow"/>
          <w:color w:val="000000"/>
          <w:lang w:eastAsia="zh-Hans"/>
        </w:rPr>
      </w:pPr>
      <w:r>
        <w:rPr>
          <w:rFonts w:hint="eastAsia" w:ascii="Times New Roman" w:hAnsi="Times New Roman"/>
          <w:sz w:val="24"/>
          <w:szCs w:val="24"/>
          <w:vertAlign w:val="superscript"/>
          <w:lang w:val="en-US" w:eastAsia="zh-CN"/>
        </w:rPr>
        <w:t>b</w:t>
      </w:r>
      <w:r>
        <w:rPr>
          <w:rFonts w:hint="eastAsia" w:ascii="Times New Roman Regular" w:hAnsi="Times New Roman Regular" w:eastAsia="Arial Narrow"/>
          <w:color w:val="000000"/>
        </w:rPr>
        <w:t>Center for Disease Control and Prevention, Dongshan County, Zhangzhou, Fujian</w:t>
      </w:r>
      <w:r>
        <w:rPr>
          <w:rFonts w:hint="default" w:ascii="Times New Roman Regular" w:hAnsi="Times New Roman Regular" w:eastAsia="Arial Narrow"/>
          <w:color w:val="000000"/>
        </w:rPr>
        <w:t>, 363400, China;</w:t>
      </w:r>
    </w:p>
    <w:p w14:paraId="00A716C4"/>
    <w:p w14:paraId="0C4B3092">
      <w:pPr>
        <w:rPr>
          <w:rFonts w:hint="default" w:ascii="Times New Roman Regular" w:hAnsi="Times New Roman Regular" w:eastAsia="宋体" w:cs="Times New Roman Regular"/>
          <w:lang w:val="en-US" w:eastAsia="zh-CN"/>
        </w:rPr>
      </w:pPr>
      <w:bookmarkStart w:id="40" w:name="_GoBack"/>
      <w:bookmarkEnd w:id="40"/>
      <w:r>
        <w:rPr>
          <w:rFonts w:hint="default" w:ascii="Times New Roman Regular" w:hAnsi="Times New Roman Regular" w:cs="Times New Roman Regular"/>
          <w:lang w:val="en-US" w:eastAsia="zh-CN"/>
        </w:rPr>
        <w:t>Corresponding Author: Yan Wang, yanwang2021@163.com</w:t>
      </w:r>
    </w:p>
    <w:p w14:paraId="271C7084">
      <w:pPr>
        <w:rPr>
          <w:rFonts w:hint="default"/>
        </w:rPr>
      </w:pPr>
    </w:p>
    <w:p w14:paraId="3A3DBEAF">
      <w:pPr>
        <w:rPr>
          <w:rFonts w:ascii="Times New Roman Bold" w:hAnsi="Times New Roman Bold" w:cs="Times New Roman Bold"/>
          <w:b/>
          <w:bCs/>
          <w:sz w:val="28"/>
          <w:szCs w:val="28"/>
        </w:rPr>
        <w:sectPr>
          <w:pgSz w:w="11906" w:h="16838"/>
          <w:pgMar w:top="1440" w:right="1800" w:bottom="1440" w:left="1800" w:header="851" w:footer="992" w:gutter="0"/>
          <w:cols w:space="720" w:num="1"/>
          <w:docGrid w:type="lines" w:linePitch="312" w:charSpace="0"/>
        </w:sectPr>
      </w:pPr>
    </w:p>
    <w:bookmarkEnd w:id="0"/>
    <w:bookmarkEnd w:id="1"/>
    <w:p w14:paraId="4F8ECCB3">
      <w:pPr>
        <w:rPr>
          <w:rFonts w:ascii="Times New Roman Bold" w:hAnsi="Times New Roman Bold" w:cs="Times New Roman Bold"/>
          <w:b/>
          <w:bCs/>
          <w:sz w:val="28"/>
          <w:szCs w:val="28"/>
        </w:rPr>
      </w:pPr>
      <w:bookmarkStart w:id="2" w:name="OLE_LINK55"/>
      <w:bookmarkStart w:id="3" w:name="OLE_LINK54"/>
      <w:bookmarkStart w:id="4" w:name="OLE_LINK52"/>
      <w:bookmarkStart w:id="5" w:name="OLE_LINK53"/>
      <w:r>
        <w:rPr>
          <w:rFonts w:ascii="Times New Roman Bold" w:hAnsi="Times New Roman Bold" w:cs="Times New Roman Bold"/>
          <w:b/>
          <w:bCs/>
          <w:sz w:val="28"/>
          <w:szCs w:val="28"/>
        </w:rPr>
        <w:t>Abstract</w:t>
      </w:r>
    </w:p>
    <w:p w14:paraId="344FC8F1">
      <w:pPr>
        <w:rPr>
          <w:rFonts w:ascii="Times New Roman Regular" w:hAnsi="Times New Roman Regular"/>
          <w:sz w:val="24"/>
          <w:szCs w:val="24"/>
        </w:rPr>
      </w:pPr>
      <w:r>
        <w:rPr>
          <w:rFonts w:ascii="Times New Roman Regular" w:hAnsi="Times New Roman Regular"/>
          <w:i/>
          <w:iCs/>
          <w:sz w:val="24"/>
          <w:szCs w:val="24"/>
        </w:rPr>
        <w:t>Background:</w:t>
      </w:r>
      <w:r>
        <w:rPr>
          <w:rFonts w:ascii="Times New Roman Regular" w:hAnsi="Times New Roman Regular"/>
          <w:sz w:val="24"/>
          <w:szCs w:val="24"/>
        </w:rPr>
        <w:t xml:space="preserve"> Lung cancer and </w:t>
      </w:r>
      <w:bookmarkStart w:id="6" w:name="OLE_LINK27"/>
      <w:r>
        <w:rPr>
          <w:rFonts w:ascii="Times New Roman Regular" w:hAnsi="Times New Roman Regular"/>
          <w:sz w:val="24"/>
          <w:szCs w:val="24"/>
        </w:rPr>
        <w:t>pancreatic cancer</w:t>
      </w:r>
      <w:bookmarkEnd w:id="6"/>
      <w:r>
        <w:rPr>
          <w:rFonts w:ascii="Times New Roman Regular" w:hAnsi="Times New Roman Regular"/>
          <w:sz w:val="24"/>
          <w:szCs w:val="24"/>
        </w:rPr>
        <w:t xml:space="preserve"> are solid tumors that threaten human health and affect the human quality of life. Erlotinib is used to treat lung and pancreatic cancer, therefore larger monitoring of erlotinib’s</w:t>
      </w:r>
      <w:r>
        <w:rPr>
          <w:rFonts w:hint="eastAsia" w:ascii="Times New Roman Regular" w:hAnsi="Times New Roman Regular"/>
          <w:sz w:val="24"/>
          <w:szCs w:val="24"/>
        </w:rPr>
        <w:t xml:space="preserve"> </w:t>
      </w:r>
      <w:r>
        <w:rPr>
          <w:rFonts w:ascii="Times New Roman Regular" w:hAnsi="Times New Roman Regular"/>
          <w:sz w:val="24"/>
          <w:szCs w:val="24"/>
        </w:rPr>
        <w:t>adverse events (AEs) would be more beneficial to guide patients on medication.</w:t>
      </w:r>
    </w:p>
    <w:p w14:paraId="73DC9E30">
      <w:pPr>
        <w:rPr>
          <w:rFonts w:ascii="Times New Roman Regular" w:hAnsi="Times New Roman Regular"/>
          <w:sz w:val="24"/>
          <w:szCs w:val="24"/>
        </w:rPr>
      </w:pPr>
      <w:r>
        <w:rPr>
          <w:rFonts w:hint="eastAsia" w:ascii="Times New Roman Regular" w:hAnsi="Times New Roman Regular"/>
          <w:i/>
          <w:iCs/>
          <w:sz w:val="24"/>
          <w:szCs w:val="24"/>
        </w:rPr>
        <w:t>M</w:t>
      </w:r>
      <w:r>
        <w:rPr>
          <w:rFonts w:ascii="Times New Roman Regular" w:hAnsi="Times New Roman Regular"/>
          <w:i/>
          <w:iCs/>
          <w:sz w:val="24"/>
          <w:szCs w:val="24"/>
        </w:rPr>
        <w:t>ethods:</w:t>
      </w:r>
      <w:r>
        <w:rPr>
          <w:rFonts w:ascii="Times New Roman Regular" w:hAnsi="Times New Roman Regular"/>
          <w:sz w:val="24"/>
          <w:szCs w:val="24"/>
        </w:rPr>
        <w:t xml:space="preserve"> The disproportionality of erlotinib-related AEs was calculated using multiple methods, including the reporting odds ratio (ROR), the proportional reporting ratio (PRR), the Bayesian confidence propagation neural network (BCPNN), and the </w:t>
      </w:r>
      <w:r>
        <w:rPr>
          <w:rFonts w:ascii="Times New Roman" w:hAnsi="Times New Roman"/>
          <w:sz w:val="24"/>
          <w:szCs w:val="24"/>
        </w:rPr>
        <w:t xml:space="preserve">empirical Bayes geometric mean (EBGM) </w:t>
      </w:r>
      <w:r>
        <w:rPr>
          <w:rFonts w:hint="eastAsia" w:ascii="Times New Roman" w:hAnsi="Times New Roman"/>
          <w:sz w:val="24"/>
          <w:szCs w:val="24"/>
        </w:rPr>
        <w:t>algorithm</w:t>
      </w:r>
      <w:r>
        <w:rPr>
          <w:rFonts w:ascii="Times New Roman Regular" w:hAnsi="Times New Roman Regular"/>
          <w:sz w:val="24"/>
          <w:szCs w:val="24"/>
        </w:rPr>
        <w:t>s, as measures of detecting erlotinib-associated AEs signals.</w:t>
      </w:r>
    </w:p>
    <w:p w14:paraId="71AD9311">
      <w:pPr>
        <w:rPr>
          <w:rFonts w:ascii="Times New Roman Regular" w:hAnsi="Times New Roman Regular"/>
          <w:sz w:val="24"/>
          <w:szCs w:val="24"/>
        </w:rPr>
      </w:pPr>
      <w:r>
        <w:rPr>
          <w:rFonts w:hint="eastAsia" w:ascii="Times New Roman Regular" w:hAnsi="Times New Roman Regular"/>
          <w:i/>
          <w:iCs/>
          <w:sz w:val="24"/>
          <w:szCs w:val="24"/>
        </w:rPr>
        <w:t>Results</w:t>
      </w:r>
      <w:r>
        <w:rPr>
          <w:rFonts w:ascii="Times New Roman Regular" w:hAnsi="Times New Roman Regular"/>
          <w:i/>
          <w:iCs/>
          <w:sz w:val="24"/>
          <w:szCs w:val="24"/>
        </w:rPr>
        <w:t>:</w:t>
      </w:r>
      <w:r>
        <w:rPr>
          <w:rFonts w:ascii="Times New Roman Regular" w:hAnsi="Times New Roman Regular"/>
          <w:sz w:val="24"/>
          <w:szCs w:val="24"/>
        </w:rPr>
        <w:t xml:space="preserve"> A total of 9,360,316 case reports participated in statistical analysis from the FAERS database, 2,870 reports of erlotinib as the ‘primary suspected (PS)’ AEs were recorded, and 177 erlotinib-related ADRs at preferred terms (PTs) level were selected through disproportionality analyses. Erlotinib-induced ADRs occurrence targeted 21 organ systems. Some AEs confirmed by this study were consistent with clinical observations, such as </w:t>
      </w:r>
      <w:bookmarkStart w:id="7" w:name="OLE_LINK50"/>
      <w:bookmarkStart w:id="8" w:name="OLE_LINK51"/>
      <w:r>
        <w:rPr>
          <w:rFonts w:ascii="Times New Roman Regular" w:hAnsi="Times New Roman Regular"/>
          <w:sz w:val="24"/>
          <w:szCs w:val="24"/>
        </w:rPr>
        <w:t>dermatitis acneiform, and EGFR gene mutation</w:t>
      </w:r>
      <w:bookmarkEnd w:id="7"/>
      <w:bookmarkEnd w:id="8"/>
      <w:r>
        <w:rPr>
          <w:rFonts w:ascii="Times New Roman Regular" w:hAnsi="Times New Roman Regular"/>
          <w:sz w:val="24"/>
          <w:szCs w:val="24"/>
        </w:rPr>
        <w:t xml:space="preserve">, etc. Besides, unexpected significant AEs such as </w:t>
      </w:r>
      <w:r>
        <w:rPr>
          <w:rFonts w:ascii="Times New Roman Regular" w:hAnsi="Times New Roman Regular"/>
          <w:color w:val="000000" w:themeColor="text1"/>
          <w:sz w:val="24"/>
          <w:szCs w:val="24"/>
          <w14:textFill>
            <w14:solidFill>
              <w14:schemeClr w14:val="tx1"/>
            </w14:solidFill>
          </w14:textFill>
        </w:rPr>
        <w:t xml:space="preserve">growth of eyelashes, metastases to thorax, alopecia scarring, etc. </w:t>
      </w:r>
      <w:r>
        <w:rPr>
          <w:rFonts w:ascii="Times New Roman Regular" w:hAnsi="Times New Roman Regular"/>
          <w:sz w:val="24"/>
          <w:szCs w:val="24"/>
        </w:rPr>
        <w:t>might occur, which are not labeled on the drug instruction.</w:t>
      </w:r>
    </w:p>
    <w:p w14:paraId="2AEFE824">
      <w:pPr>
        <w:rPr>
          <w:rFonts w:ascii="Times New Roman Regular" w:hAnsi="Times New Roman Regular"/>
          <w:sz w:val="24"/>
          <w:szCs w:val="24"/>
        </w:rPr>
      </w:pPr>
      <w:r>
        <w:rPr>
          <w:rFonts w:hint="eastAsia" w:ascii="Times New Roman Regular" w:hAnsi="Times New Roman Regular"/>
          <w:i/>
          <w:iCs/>
          <w:sz w:val="24"/>
          <w:szCs w:val="24"/>
        </w:rPr>
        <w:t>Conclusion</w:t>
      </w:r>
      <w:r>
        <w:rPr>
          <w:rFonts w:ascii="Times New Roman Regular" w:hAnsi="Times New Roman Regular"/>
          <w:i/>
          <w:iCs/>
          <w:sz w:val="24"/>
          <w:szCs w:val="24"/>
        </w:rPr>
        <w:t>:</w:t>
      </w:r>
      <w:r>
        <w:rPr>
          <w:rFonts w:ascii="Times New Roman Regular" w:hAnsi="Times New Roman Regular"/>
          <w:sz w:val="24"/>
          <w:szCs w:val="24"/>
        </w:rPr>
        <w:t xml:space="preserve"> In this study, we found potential new and unexpected ADR signals for erlotinib, suggesting further prospective clinical studies were essential to confirm the relationship between ADRs and erlotinib. The study could provide new insight to detect signals of AEs.</w:t>
      </w:r>
    </w:p>
    <w:bookmarkEnd w:id="2"/>
    <w:bookmarkEnd w:id="3"/>
    <w:p w14:paraId="50A97562">
      <w:pPr>
        <w:rPr>
          <w:rFonts w:ascii="Times New Roman Regular" w:hAnsi="Times New Roman Regular"/>
          <w:sz w:val="24"/>
          <w:szCs w:val="24"/>
        </w:rPr>
      </w:pPr>
    </w:p>
    <w:p w14:paraId="1009154F">
      <w:pPr>
        <w:rPr>
          <w:rFonts w:ascii="Times New Roman Regular" w:hAnsi="Times New Roman Regular"/>
          <w:sz w:val="24"/>
          <w:szCs w:val="24"/>
        </w:rPr>
      </w:pPr>
    </w:p>
    <w:p w14:paraId="47832FF8">
      <w:pPr>
        <w:rPr>
          <w:rFonts w:ascii="Times New Roman Regular" w:hAnsi="Times New Roman Regular"/>
          <w:sz w:val="24"/>
          <w:szCs w:val="24"/>
        </w:rPr>
      </w:pPr>
      <w:r>
        <w:rPr>
          <w:rFonts w:hint="eastAsia" w:ascii="Times New Roman Regular" w:hAnsi="Times New Roman Regular"/>
          <w:sz w:val="24"/>
          <w:szCs w:val="24"/>
        </w:rPr>
        <w:t>K</w:t>
      </w:r>
      <w:r>
        <w:rPr>
          <w:rFonts w:ascii="Times New Roman Regular" w:hAnsi="Times New Roman Regular"/>
          <w:sz w:val="24"/>
          <w:szCs w:val="24"/>
        </w:rPr>
        <w:t>eywords: erlotinib; adverse events; FAERS; lung cancer; pancreatic cancer</w:t>
      </w:r>
    </w:p>
    <w:p w14:paraId="0ED426BF">
      <w:pPr>
        <w:rPr>
          <w:rFonts w:ascii="Times New Roman Regular" w:hAnsi="Times New Roman Regular"/>
          <w:sz w:val="24"/>
          <w:szCs w:val="24"/>
        </w:rPr>
      </w:pPr>
    </w:p>
    <w:p w14:paraId="7BDF2534">
      <w:pPr>
        <w:rPr>
          <w:rFonts w:ascii="Times New Roman Regular" w:hAnsi="Times New Roman Regular"/>
          <w:sz w:val="24"/>
          <w:szCs w:val="24"/>
        </w:rPr>
      </w:pPr>
    </w:p>
    <w:p w14:paraId="3AA34875">
      <w:pPr>
        <w:rPr>
          <w:rFonts w:ascii="Times New Roman Regular" w:hAnsi="Times New Roman Regular"/>
          <w:sz w:val="24"/>
          <w:szCs w:val="24"/>
        </w:rPr>
      </w:pPr>
    </w:p>
    <w:p w14:paraId="251F810E">
      <w:pPr>
        <w:rPr>
          <w:rFonts w:ascii="Times New Roman Regular" w:hAnsi="Times New Roman Regular"/>
          <w:sz w:val="24"/>
          <w:szCs w:val="24"/>
        </w:rPr>
      </w:pPr>
    </w:p>
    <w:p w14:paraId="44A6B3AD">
      <w:pPr>
        <w:rPr>
          <w:rFonts w:ascii="Times New Roman Regular" w:hAnsi="Times New Roman Regular"/>
          <w:sz w:val="24"/>
          <w:szCs w:val="24"/>
        </w:rPr>
      </w:pPr>
    </w:p>
    <w:p w14:paraId="4A47D986">
      <w:pPr>
        <w:rPr>
          <w:rFonts w:ascii="Times New Roman Regular" w:hAnsi="Times New Roman Regular"/>
          <w:sz w:val="24"/>
          <w:szCs w:val="24"/>
        </w:rPr>
      </w:pPr>
    </w:p>
    <w:p w14:paraId="4170D62D">
      <w:pPr>
        <w:widowControl/>
        <w:jc w:val="left"/>
        <w:rPr>
          <w:rFonts w:ascii="Times New Roman Bold" w:hAnsi="Times New Roman Bold" w:cs="Times New Roman Bold"/>
          <w:b/>
          <w:bCs/>
          <w:sz w:val="28"/>
          <w:szCs w:val="28"/>
        </w:rPr>
        <w:sectPr>
          <w:pgSz w:w="11906" w:h="16838"/>
          <w:pgMar w:top="1440" w:right="1800" w:bottom="1440" w:left="1800" w:header="851" w:footer="992" w:gutter="0"/>
          <w:cols w:space="720" w:num="1"/>
          <w:docGrid w:type="lines" w:linePitch="312" w:charSpace="0"/>
        </w:sectPr>
      </w:pPr>
    </w:p>
    <w:p w14:paraId="20D556CA">
      <w:pPr>
        <w:rPr>
          <w:rFonts w:ascii="Times New Roman Bold" w:hAnsi="Times New Roman Bold" w:cs="Times New Roman Bold"/>
          <w:b/>
          <w:bCs/>
          <w:sz w:val="28"/>
          <w:szCs w:val="28"/>
        </w:rPr>
      </w:pPr>
      <w:r>
        <w:rPr>
          <w:rFonts w:ascii="Times New Roman Bold" w:hAnsi="Times New Roman Bold" w:cs="Times New Roman Bold"/>
          <w:b/>
          <w:bCs/>
          <w:sz w:val="28"/>
          <w:szCs w:val="28"/>
        </w:rPr>
        <w:t>Introduction</w:t>
      </w:r>
    </w:p>
    <w:p w14:paraId="59A4E04A">
      <w:pPr>
        <w:rPr>
          <w:rFonts w:ascii="Times New Roman" w:hAnsi="Times New Roman"/>
          <w:color w:val="EE0000"/>
          <w:sz w:val="24"/>
          <w:szCs w:val="24"/>
        </w:rPr>
      </w:pPr>
      <w:bookmarkStart w:id="9" w:name="OLE_LINK11"/>
      <w:bookmarkStart w:id="10" w:name="OLE_LINK10"/>
      <w:bookmarkStart w:id="11" w:name="OLE_LINK3"/>
      <w:bookmarkStart w:id="12" w:name="OLE_LINK2"/>
      <w:r>
        <w:rPr>
          <w:rFonts w:ascii="Times New Roman" w:hAnsi="Times New Roman"/>
          <w:color w:val="EE0000"/>
          <w:sz w:val="24"/>
          <w:szCs w:val="24"/>
        </w:rPr>
        <w:t xml:space="preserve">Cancer is widely acknowledged as a leading cause of mortality and a significant impediment to enhancing life expectancy across all nations. According to statistical data from the World Health Organization (WHO) in 2019, cancer-related deaths rank among the top two causes in over 60% of countries </w:t>
      </w:r>
      <w:r>
        <w:rPr>
          <w:rFonts w:ascii="Times New Roman" w:hAnsi="Times New Roman"/>
          <w:color w:val="EE0000"/>
          <w:sz w:val="24"/>
          <w:szCs w:val="24"/>
        </w:rPr>
        <w:fldChar w:fldCharType="begin">
          <w:fldData xml:space="preserve">PEVuZE5vdGU+PENpdGU+PEF1dGhvcj5TdW5nPC9BdXRob3I+PFllYXI+MjAyMTwvWWVhcj48UmVj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</w:fldData>
        </w:fldChar>
      </w:r>
      <w:r>
        <w:rPr>
          <w:rFonts w:ascii="Times New Roman" w:hAnsi="Times New Roman"/>
          <w:color w:val="EE0000"/>
          <w:sz w:val="24"/>
          <w:szCs w:val="24"/>
        </w:rPr>
        <w:instrText xml:space="preserve"> ADDIN EN.CITE </w:instrText>
      </w:r>
      <w:r>
        <w:rPr>
          <w:rFonts w:ascii="Times New Roman" w:hAnsi="Times New Roman"/>
          <w:color w:val="EE0000"/>
          <w:sz w:val="24"/>
          <w:szCs w:val="24"/>
        </w:rPr>
        <w:fldChar w:fldCharType="begin">
          <w:fldData xml:space="preserve">PEVuZE5vdGU+PENpdGU+PEF1dGhvcj5TdW5nPC9BdXRob3I+PFllYXI+MjAyMTwvWWVhcj48UmVj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</w:fldData>
        </w:fldChar>
      </w:r>
      <w:r>
        <w:rPr>
          <w:rFonts w:ascii="Times New Roman" w:hAnsi="Times New Roman"/>
          <w:color w:val="EE0000"/>
          <w:sz w:val="24"/>
          <w:szCs w:val="24"/>
        </w:rPr>
        <w:instrText xml:space="preserve"> ADDIN EN.CITE.DATA </w:instrText>
      </w:r>
      <w:r>
        <w:rPr>
          <w:rFonts w:ascii="Times New Roman" w:hAnsi="Times New Roman"/>
          <w:color w:val="EE0000"/>
          <w:sz w:val="24"/>
          <w:szCs w:val="24"/>
        </w:rPr>
        <w:fldChar w:fldCharType="end"/>
      </w:r>
      <w:r>
        <w:rPr>
          <w:rFonts w:ascii="Times New Roman" w:hAnsi="Times New Roman"/>
          <w:color w:val="EE0000"/>
          <w:sz w:val="24"/>
          <w:szCs w:val="24"/>
        </w:rPr>
        <w:fldChar w:fldCharType="separate"/>
      </w:r>
      <w:r>
        <w:rPr>
          <w:rFonts w:ascii="Times New Roman" w:hAnsi="Times New Roman"/>
          <w:color w:val="EE0000"/>
          <w:sz w:val="24"/>
          <w:szCs w:val="24"/>
        </w:rPr>
        <w:t>[1]</w:t>
      </w:r>
      <w:r>
        <w:rPr>
          <w:rFonts w:ascii="Times New Roman" w:hAnsi="Times New Roman"/>
          <w:color w:val="EE0000"/>
          <w:sz w:val="24"/>
          <w:szCs w:val="24"/>
        </w:rPr>
        <w:fldChar w:fldCharType="end"/>
      </w:r>
      <w:r>
        <w:rPr>
          <w:rFonts w:ascii="Times New Roman" w:hAnsi="Times New Roman"/>
          <w:color w:val="EE0000"/>
          <w:sz w:val="24"/>
          <w:szCs w:val="24"/>
        </w:rPr>
        <w:t>. Notably, lung cancer is the second most prevalent cancer, accounting for 11.4% of cancer-related deaths, while pancreatic cancer ranks 14th, comprising 2.6% of such deaths in 2020</w:t>
      </w:r>
      <w:r>
        <w:rPr>
          <w:rFonts w:hint="eastAsia" w:ascii="Times New Roman" w:hAnsi="Times New Roman"/>
          <w:color w:val="EE0000"/>
          <w:sz w:val="24"/>
          <w:szCs w:val="24"/>
        </w:rPr>
        <w:t xml:space="preserve"> </w:t>
      </w:r>
      <w:r>
        <w:rPr>
          <w:rFonts w:ascii="Times New Roman" w:hAnsi="Times New Roman"/>
          <w:color w:val="EE0000"/>
          <w:sz w:val="24"/>
          <w:szCs w:val="24"/>
        </w:rPr>
        <w:fldChar w:fldCharType="begin">
          <w:fldData xml:space="preserve">PEVuZE5vdGU+PENpdGU+PEF1dGhvcj5TdW5nPC9BdXRob3I+PFllYXI+MjAyMTwvWWVhcj48UmVj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</w:fldData>
        </w:fldChar>
      </w:r>
      <w:r>
        <w:rPr>
          <w:rFonts w:ascii="Times New Roman" w:hAnsi="Times New Roman"/>
          <w:color w:val="EE0000"/>
          <w:sz w:val="24"/>
          <w:szCs w:val="24"/>
        </w:rPr>
        <w:instrText xml:space="preserve"> ADDIN EN.CITE </w:instrText>
      </w:r>
      <w:r>
        <w:rPr>
          <w:rFonts w:ascii="Times New Roman" w:hAnsi="Times New Roman"/>
          <w:color w:val="EE0000"/>
          <w:sz w:val="24"/>
          <w:szCs w:val="24"/>
        </w:rPr>
        <w:fldChar w:fldCharType="begin">
          <w:fldData xml:space="preserve">PEVuZE5vdGU+PENpdGU+PEF1dGhvcj5TdW5nPC9BdXRob3I+PFllYXI+MjAyMTwvWWVhcj48UmVj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</w:fldData>
        </w:fldChar>
      </w:r>
      <w:r>
        <w:rPr>
          <w:rFonts w:ascii="Times New Roman" w:hAnsi="Times New Roman"/>
          <w:color w:val="EE0000"/>
          <w:sz w:val="24"/>
          <w:szCs w:val="24"/>
        </w:rPr>
        <w:instrText xml:space="preserve"> ADDIN EN.CITE.DATA </w:instrText>
      </w:r>
      <w:r>
        <w:rPr>
          <w:rFonts w:ascii="Times New Roman" w:hAnsi="Times New Roman"/>
          <w:color w:val="EE0000"/>
          <w:sz w:val="24"/>
          <w:szCs w:val="24"/>
        </w:rPr>
        <w:fldChar w:fldCharType="end"/>
      </w:r>
      <w:r>
        <w:rPr>
          <w:rFonts w:ascii="Times New Roman" w:hAnsi="Times New Roman"/>
          <w:color w:val="EE0000"/>
          <w:sz w:val="24"/>
          <w:szCs w:val="24"/>
        </w:rPr>
        <w:fldChar w:fldCharType="separate"/>
      </w:r>
      <w:r>
        <w:rPr>
          <w:rFonts w:ascii="Times New Roman" w:hAnsi="Times New Roman"/>
          <w:color w:val="EE0000"/>
          <w:sz w:val="24"/>
          <w:szCs w:val="24"/>
        </w:rPr>
        <w:t>[1]</w:t>
      </w:r>
      <w:r>
        <w:rPr>
          <w:rFonts w:ascii="Times New Roman" w:hAnsi="Times New Roman"/>
          <w:color w:val="EE0000"/>
          <w:sz w:val="24"/>
          <w:szCs w:val="24"/>
        </w:rPr>
        <w:fldChar w:fldCharType="end"/>
      </w:r>
      <w:r>
        <w:rPr>
          <w:rFonts w:ascii="Times New Roman" w:hAnsi="Times New Roman"/>
          <w:color w:val="EE0000"/>
          <w:sz w:val="24"/>
          <w:szCs w:val="24"/>
        </w:rPr>
        <w:t xml:space="preserve">. It is important to highlight that the majority of patients diagnosed with pancreatic cancer present with the disease at an advanced and unresectable stage </w:t>
      </w:r>
      <w:r>
        <w:rPr>
          <w:rFonts w:ascii="Times New Roman" w:hAnsi="Times New Roman"/>
          <w:color w:val="EE0000"/>
          <w:sz w:val="24"/>
          <w:szCs w:val="24"/>
        </w:rPr>
        <w:fldChar w:fldCharType="begin">
          <w:fldData xml:space="preserve">PEVuZE5vdGU+PENpdGU+PEF1dGhvcj5Pa3VzYWthPC9BdXRob3I+PFllYXI+MjAyMDwvWWVhcj48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</w:fldData>
        </w:fldChar>
      </w:r>
      <w:r>
        <w:rPr>
          <w:rFonts w:ascii="Times New Roman" w:hAnsi="Times New Roman"/>
          <w:color w:val="EE0000"/>
          <w:sz w:val="24"/>
          <w:szCs w:val="24"/>
        </w:rPr>
        <w:instrText xml:space="preserve"> ADDIN EN.CITE </w:instrText>
      </w:r>
      <w:r>
        <w:rPr>
          <w:rFonts w:ascii="Times New Roman" w:hAnsi="Times New Roman"/>
          <w:color w:val="EE0000"/>
          <w:sz w:val="24"/>
          <w:szCs w:val="24"/>
        </w:rPr>
        <w:fldChar w:fldCharType="begin">
          <w:fldData xml:space="preserve">PEVuZE5vdGU+PENpdGU+PEF1dGhvcj5Pa3VzYWthPC9BdXRob3I+PFllYXI+MjAyMDwvWWVhcj48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</w:fldData>
        </w:fldChar>
      </w:r>
      <w:r>
        <w:rPr>
          <w:rFonts w:ascii="Times New Roman" w:hAnsi="Times New Roman"/>
          <w:color w:val="EE0000"/>
          <w:sz w:val="24"/>
          <w:szCs w:val="24"/>
        </w:rPr>
        <w:instrText xml:space="preserve"> ADDIN EN.CITE.DATA </w:instrText>
      </w:r>
      <w:r>
        <w:rPr>
          <w:rFonts w:ascii="Times New Roman" w:hAnsi="Times New Roman"/>
          <w:color w:val="EE0000"/>
          <w:sz w:val="24"/>
          <w:szCs w:val="24"/>
        </w:rPr>
        <w:fldChar w:fldCharType="end"/>
      </w:r>
      <w:r>
        <w:rPr>
          <w:rFonts w:ascii="Times New Roman" w:hAnsi="Times New Roman"/>
          <w:color w:val="EE0000"/>
          <w:sz w:val="24"/>
          <w:szCs w:val="24"/>
        </w:rPr>
        <w:fldChar w:fldCharType="separate"/>
      </w:r>
      <w:r>
        <w:rPr>
          <w:rFonts w:ascii="Times New Roman" w:hAnsi="Times New Roman"/>
          <w:color w:val="EE0000"/>
          <w:sz w:val="24"/>
          <w:szCs w:val="24"/>
        </w:rPr>
        <w:t>[2]</w:t>
      </w:r>
      <w:r>
        <w:rPr>
          <w:rFonts w:ascii="Times New Roman" w:hAnsi="Times New Roman"/>
          <w:color w:val="EE0000"/>
          <w:sz w:val="24"/>
          <w:szCs w:val="24"/>
        </w:rPr>
        <w:fldChar w:fldCharType="end"/>
      </w:r>
      <w:r>
        <w:rPr>
          <w:rFonts w:ascii="Times New Roman" w:hAnsi="Times New Roman"/>
          <w:color w:val="EE0000"/>
          <w:sz w:val="24"/>
          <w:szCs w:val="24"/>
        </w:rPr>
        <w:t>.</w:t>
      </w:r>
    </w:p>
    <w:p w14:paraId="40762B07">
      <w:pPr>
        <w:rPr>
          <w:rFonts w:ascii="Times New Roman" w:hAnsi="Times New Roman"/>
          <w:color w:val="EE0000"/>
          <w:sz w:val="24"/>
          <w:szCs w:val="24"/>
        </w:rPr>
      </w:pPr>
      <w:r>
        <w:rPr>
          <w:rFonts w:ascii="Times New Roman" w:hAnsi="Times New Roman"/>
          <w:color w:val="EE0000"/>
          <w:sz w:val="24"/>
          <w:szCs w:val="24"/>
        </w:rPr>
        <w:t xml:space="preserve">Erlotinib, marketed by Genentech Inc. under the brand name Tarceva®, is a reversible epidermal growth factor receptor tyrosine kinase inhibitor (EGFR-TKI) that is widely utilized as a first-line therapeutic agent for advanced non-small cell lung cancer (NSCLC) and pancreatic cancer (PC) </w:t>
      </w:r>
      <w:r>
        <w:rPr>
          <w:rFonts w:ascii="Times New Roman" w:hAnsi="Times New Roman"/>
          <w:color w:val="EE0000"/>
          <w:sz w:val="24"/>
          <w:szCs w:val="24"/>
        </w:rPr>
        <w:fldChar w:fldCharType="begin">
          <w:fldData xml:space="preserve">PEVuZE5vdGU+PENpdGU+PEF1dGhvcj5MaTwvQXV0aG9yPjxZZWFyPjIwMDg8L1llYXI+PFJlY051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</w:fldData>
        </w:fldChar>
      </w:r>
      <w:r>
        <w:rPr>
          <w:rFonts w:ascii="Times New Roman" w:hAnsi="Times New Roman"/>
          <w:color w:val="EE0000"/>
          <w:sz w:val="24"/>
          <w:szCs w:val="24"/>
        </w:rPr>
        <w:instrText xml:space="preserve"> ADDIN EN.CITE </w:instrText>
      </w:r>
      <w:r>
        <w:rPr>
          <w:rFonts w:ascii="Times New Roman" w:hAnsi="Times New Roman"/>
          <w:color w:val="EE0000"/>
          <w:sz w:val="24"/>
          <w:szCs w:val="24"/>
        </w:rPr>
        <w:fldChar w:fldCharType="begin">
          <w:fldData xml:space="preserve">PEVuZE5vdGU+PENpdGU+PEF1dGhvcj5MaTwvQXV0aG9yPjxZZWFyPjIwMDg8L1llYXI+PFJlY051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</w:fldData>
        </w:fldChar>
      </w:r>
      <w:r>
        <w:rPr>
          <w:rFonts w:ascii="Times New Roman" w:hAnsi="Times New Roman"/>
          <w:color w:val="EE0000"/>
          <w:sz w:val="24"/>
          <w:szCs w:val="24"/>
        </w:rPr>
        <w:instrText xml:space="preserve"> ADDIN EN.CITE.DATA </w:instrText>
      </w:r>
      <w:r>
        <w:rPr>
          <w:rFonts w:ascii="Times New Roman" w:hAnsi="Times New Roman"/>
          <w:color w:val="EE0000"/>
          <w:sz w:val="24"/>
          <w:szCs w:val="24"/>
        </w:rPr>
        <w:fldChar w:fldCharType="end"/>
      </w:r>
      <w:r>
        <w:rPr>
          <w:rFonts w:ascii="Times New Roman" w:hAnsi="Times New Roman"/>
          <w:color w:val="EE0000"/>
          <w:sz w:val="24"/>
          <w:szCs w:val="24"/>
        </w:rPr>
        <w:fldChar w:fldCharType="separate"/>
      </w:r>
      <w:r>
        <w:rPr>
          <w:rFonts w:ascii="Times New Roman" w:hAnsi="Times New Roman"/>
          <w:color w:val="EE0000"/>
          <w:sz w:val="24"/>
          <w:szCs w:val="24"/>
        </w:rPr>
        <w:t>[3, 4]</w:t>
      </w:r>
      <w:r>
        <w:rPr>
          <w:rFonts w:ascii="Times New Roman" w:hAnsi="Times New Roman"/>
          <w:color w:val="EE0000"/>
          <w:sz w:val="24"/>
          <w:szCs w:val="24"/>
        </w:rPr>
        <w:fldChar w:fldCharType="end"/>
      </w:r>
      <w:r>
        <w:rPr>
          <w:rFonts w:ascii="Times New Roman" w:hAnsi="Times New Roman"/>
          <w:color w:val="EE0000"/>
          <w:sz w:val="24"/>
          <w:szCs w:val="24"/>
        </w:rPr>
        <w:t xml:space="preserve">. It received approval from the U.S. Food and Drug Administration (FDA) in 2005 </w:t>
      </w:r>
      <w:r>
        <w:rPr>
          <w:rFonts w:ascii="Times New Roman" w:hAnsi="Times New Roman"/>
          <w:color w:val="EE0000"/>
          <w:sz w:val="24"/>
          <w:szCs w:val="24"/>
        </w:rPr>
        <w:fldChar w:fldCharType="begin"/>
      </w:r>
      <w:r>
        <w:rPr>
          <w:rFonts w:ascii="Times New Roman" w:hAnsi="Times New Roman"/>
          <w:color w:val="EE0000"/>
          <w:sz w:val="24"/>
          <w:szCs w:val="24"/>
        </w:rPr>
        <w:instrText xml:space="preserve"> ADDIN EN.CITE &lt;EndNote&gt;&lt;Cite&gt;&lt;Author&gt;Abdelgalil&lt;/Author&gt;&lt;Year&gt;2020&lt;/Year&gt;&lt;RecNum&gt;5&lt;/RecNum&gt;&lt;DisplayText&gt;[5]&lt;/DisplayText&gt;&lt;record&gt;&lt;rec-number&gt;5&lt;/rec-number&gt;&lt;foreign-keys&gt;&lt;key app="EN" db-id="5fpdpfvt2tsstme95zuxd5xo2rx0r0fsvprw" timestamp="1674303951"&gt;5&lt;/key&gt;&lt;/foreign-keys&gt;&lt;ref-type name="Journal Article"&gt;17&lt;/ref-type&gt;&lt;contributors&gt;&lt;authors&gt;&lt;author&gt;Abdelgalil, A. A.&lt;/author&gt;&lt;author&gt;Al-Kahtani, H. M.&lt;/author&gt;&lt;author&gt;Al-Jenoobi, F. I.&lt;/author&gt;&lt;/authors&gt;&lt;/contributors&gt;&lt;auth-address&gt;Central Laboratory, College of Pharmacy, King Saud University, Riyadh, Saudi Arabia.&amp;#xD;Department of Pharmaceutical Chemistry, College of Pharmacy, King Saud University, Riyadh, Saudi Arabia.&amp;#xD;Department of Pharmaceutics, College of Pharmacy, King Saud University, Riyadh, Saudi Arabia.&lt;/auth-address&gt;&lt;titles&gt;&lt;title&gt;Erlotinib&lt;/title&gt;&lt;secondary-title&gt;Profiles Drug Subst Excip Relat Methodol&lt;/secondary-title&gt;&lt;/titles&gt;&lt;periodical&gt;&lt;full-title&gt;Profiles Drug Subst Excip Relat Methodol&lt;/full-title&gt;&lt;/periodical&gt;&lt;pages&gt;93-117&lt;/pages&gt;&lt;volume&gt;45&lt;/volume&gt;&lt;edition&gt;2020/03/14&lt;/edition&gt;&lt;keywords&gt;&lt;keyword&gt;Antineoplastic Agents/*pharmacology&lt;/keyword&gt;&lt;keyword&gt;Carcinoma, Non-Small-Cell Lung/drug therapy&lt;/keyword&gt;&lt;keyword&gt;Erlotinib Hydrochloride/*pharmacology&lt;/keyword&gt;&lt;keyword&gt;Humans&lt;/keyword&gt;&lt;keyword&gt;Lung Neoplasms/drug therapy&lt;/keyword&gt;&lt;keyword&gt;Pancreatic Neoplasms/drug therapy&lt;/keyword&gt;&lt;keyword&gt;Protein Kinase Inhibitors/*pharmacology&lt;/keyword&gt;&lt;keyword&gt;Cancer drug&lt;/keyword&gt;&lt;keyword&gt;Drug-drug interactions&lt;/keyword&gt;&lt;keyword&gt;Erlotinib&lt;/keyword&gt;&lt;keyword&gt;Non-small cell lung cancer (NSCLC) and pancreatic cancer&lt;/keyword&gt;&lt;keyword&gt;Tyrosine kinase inhibitors&lt;/keyword&gt;&lt;/keywords&gt;&lt;dates&gt;&lt;year&gt;2020&lt;/year&gt;&lt;/dates&gt;&lt;isbn&gt;1871-5125 (Print)&amp;#xD;1871-5125 (Linking)&lt;/isbn&gt;&lt;accession-num&gt;32164971&lt;/accession-num&gt;&lt;urls&gt;&lt;related-urls&gt;&lt;url&gt;https://www.ncbi.nlm.nih.gov/pubmed/32164971&lt;/url&gt;&lt;/related-urls&gt;&lt;/urls&gt;&lt;electronic-resource-num&gt;10.1016/bs.podrm.2019.10.004&lt;/electronic-resource-num&gt;&lt;/record&gt;&lt;/Cite&gt;&lt;/EndNote&gt;</w:instrText>
      </w:r>
      <w:r>
        <w:rPr>
          <w:rFonts w:ascii="Times New Roman" w:hAnsi="Times New Roman"/>
          <w:color w:val="EE0000"/>
          <w:sz w:val="24"/>
          <w:szCs w:val="24"/>
        </w:rPr>
        <w:fldChar w:fldCharType="separate"/>
      </w:r>
      <w:r>
        <w:rPr>
          <w:rFonts w:ascii="Times New Roman" w:hAnsi="Times New Roman"/>
          <w:color w:val="EE0000"/>
          <w:sz w:val="24"/>
          <w:szCs w:val="24"/>
        </w:rPr>
        <w:t>[5]</w:t>
      </w:r>
      <w:r>
        <w:rPr>
          <w:rFonts w:ascii="Times New Roman" w:hAnsi="Times New Roman"/>
          <w:color w:val="EE0000"/>
          <w:sz w:val="24"/>
          <w:szCs w:val="24"/>
        </w:rPr>
        <w:fldChar w:fldCharType="end"/>
      </w:r>
      <w:r>
        <w:rPr>
          <w:rFonts w:ascii="Times New Roman" w:hAnsi="Times New Roman"/>
          <w:color w:val="EE0000"/>
          <w:sz w:val="24"/>
          <w:szCs w:val="24"/>
        </w:rPr>
        <w:t xml:space="preserve">. Significant advancements have been achieved in the identification and treatment of activated mutations in advanced NSCLC </w:t>
      </w:r>
      <w:r>
        <w:rPr>
          <w:rFonts w:ascii="Times New Roman" w:hAnsi="Times New Roman"/>
          <w:color w:val="EE0000"/>
          <w:sz w:val="24"/>
          <w:szCs w:val="24"/>
        </w:rPr>
        <w:fldChar w:fldCharType="begin">
          <w:fldData xml:space="preserve">PEVuZE5vdGU+PENpdGU+PEF1dGhvcj5DaG88L0F1dGhvcj48WWVhcj4yMDIyPC9ZZWFyPjxSZWNO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</w:fldData>
        </w:fldChar>
      </w:r>
      <w:r>
        <w:rPr>
          <w:rFonts w:ascii="Times New Roman" w:hAnsi="Times New Roman"/>
          <w:color w:val="EE0000"/>
          <w:sz w:val="24"/>
          <w:szCs w:val="24"/>
        </w:rPr>
        <w:instrText xml:space="preserve"> ADDIN EN.CITE </w:instrText>
      </w:r>
      <w:r>
        <w:rPr>
          <w:rFonts w:ascii="Times New Roman" w:hAnsi="Times New Roman"/>
          <w:color w:val="EE0000"/>
          <w:sz w:val="24"/>
          <w:szCs w:val="24"/>
        </w:rPr>
        <w:fldChar w:fldCharType="begin">
          <w:fldData xml:space="preserve">PEVuZE5vdGU+PENpdGU+PEF1dGhvcj5DaG88L0F1dGhvcj48WWVhcj4yMDIyPC9ZZWFyPjxSZWNO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</w:fldData>
        </w:fldChar>
      </w:r>
      <w:r>
        <w:rPr>
          <w:rFonts w:ascii="Times New Roman" w:hAnsi="Times New Roman"/>
          <w:color w:val="EE0000"/>
          <w:sz w:val="24"/>
          <w:szCs w:val="24"/>
        </w:rPr>
        <w:instrText xml:space="preserve"> ADDIN EN.CITE.DATA </w:instrText>
      </w:r>
      <w:r>
        <w:rPr>
          <w:rFonts w:ascii="Times New Roman" w:hAnsi="Times New Roman"/>
          <w:color w:val="EE0000"/>
          <w:sz w:val="24"/>
          <w:szCs w:val="24"/>
        </w:rPr>
        <w:fldChar w:fldCharType="end"/>
      </w:r>
      <w:r>
        <w:rPr>
          <w:rFonts w:ascii="Times New Roman" w:hAnsi="Times New Roman"/>
          <w:color w:val="EE0000"/>
          <w:sz w:val="24"/>
          <w:szCs w:val="24"/>
        </w:rPr>
        <w:fldChar w:fldCharType="separate"/>
      </w:r>
      <w:r>
        <w:rPr>
          <w:rFonts w:ascii="Times New Roman" w:hAnsi="Times New Roman"/>
          <w:color w:val="EE0000"/>
          <w:sz w:val="24"/>
          <w:szCs w:val="24"/>
        </w:rPr>
        <w:t>[6]</w:t>
      </w:r>
      <w:r>
        <w:rPr>
          <w:rFonts w:ascii="Times New Roman" w:hAnsi="Times New Roman"/>
          <w:color w:val="EE0000"/>
          <w:sz w:val="24"/>
          <w:szCs w:val="24"/>
        </w:rPr>
        <w:fldChar w:fldCharType="end"/>
      </w:r>
      <w:r>
        <w:rPr>
          <w:rFonts w:hint="eastAsia" w:ascii="Times New Roman" w:hAnsi="Times New Roman"/>
          <w:color w:val="EE0000"/>
          <w:sz w:val="24"/>
          <w:szCs w:val="24"/>
        </w:rPr>
        <w:t xml:space="preserve"> </w:t>
      </w:r>
      <w:r>
        <w:rPr>
          <w:rFonts w:ascii="Times New Roman" w:hAnsi="Times New Roman"/>
          <w:color w:val="EE0000"/>
          <w:sz w:val="24"/>
          <w:szCs w:val="24"/>
        </w:rPr>
        <w:t xml:space="preserve">. In the same year, the FDA also approved the combination of erlotinib with gemcitabine for the treatment of locally advanced, unresectable, or metastatic pancreatic cancer. Research has demonstrated that erlotinib can extend the survival of patients with non-small cell lung cancer who have experienced failure of first-line and second-line chemotherapy regimens  </w:t>
      </w:r>
      <w:r>
        <w:rPr>
          <w:rFonts w:ascii="Times New Roman" w:hAnsi="Times New Roman"/>
          <w:color w:val="EE0000"/>
          <w:sz w:val="24"/>
          <w:szCs w:val="24"/>
        </w:rPr>
        <w:fldChar w:fldCharType="begin">
          <w:fldData xml:space="preserve">PEVuZE5vdGU+PENpdGU+PEF1dGhvcj5TaGVwaGVyZDwvQXV0aG9yPjxZZWFyPjIwMDU8L1llYXI+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</w:fldData>
        </w:fldChar>
      </w:r>
      <w:r>
        <w:rPr>
          <w:rFonts w:ascii="Times New Roman" w:hAnsi="Times New Roman"/>
          <w:color w:val="EE0000"/>
          <w:sz w:val="24"/>
          <w:szCs w:val="24"/>
        </w:rPr>
        <w:instrText xml:space="preserve"> ADDIN EN.CITE </w:instrText>
      </w:r>
      <w:r>
        <w:rPr>
          <w:rFonts w:ascii="Times New Roman" w:hAnsi="Times New Roman"/>
          <w:color w:val="EE0000"/>
          <w:sz w:val="24"/>
          <w:szCs w:val="24"/>
        </w:rPr>
        <w:fldChar w:fldCharType="begin">
          <w:fldData xml:space="preserve">PEVuZE5vdGU+PENpdGU+PEF1dGhvcj5TaGVwaGVyZDwvQXV0aG9yPjxZZWFyPjIwMDU8L1llYXI+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</w:fldData>
        </w:fldChar>
      </w:r>
      <w:r>
        <w:rPr>
          <w:rFonts w:ascii="Times New Roman" w:hAnsi="Times New Roman"/>
          <w:color w:val="EE0000"/>
          <w:sz w:val="24"/>
          <w:szCs w:val="24"/>
        </w:rPr>
        <w:instrText xml:space="preserve"> ADDIN EN.CITE.DATA </w:instrText>
      </w:r>
      <w:r>
        <w:rPr>
          <w:rFonts w:ascii="Times New Roman" w:hAnsi="Times New Roman"/>
          <w:color w:val="EE0000"/>
          <w:sz w:val="24"/>
          <w:szCs w:val="24"/>
        </w:rPr>
        <w:fldChar w:fldCharType="end"/>
      </w:r>
      <w:r>
        <w:rPr>
          <w:rFonts w:ascii="Times New Roman" w:hAnsi="Times New Roman"/>
          <w:color w:val="EE0000"/>
          <w:sz w:val="24"/>
          <w:szCs w:val="24"/>
        </w:rPr>
        <w:fldChar w:fldCharType="separate"/>
      </w:r>
      <w:r>
        <w:rPr>
          <w:rFonts w:ascii="Times New Roman" w:hAnsi="Times New Roman"/>
          <w:color w:val="EE0000"/>
          <w:sz w:val="24"/>
          <w:szCs w:val="24"/>
        </w:rPr>
        <w:t>[7, 8]</w:t>
      </w:r>
      <w:r>
        <w:rPr>
          <w:rFonts w:ascii="Times New Roman" w:hAnsi="Times New Roman"/>
          <w:color w:val="EE0000"/>
          <w:sz w:val="24"/>
          <w:szCs w:val="24"/>
        </w:rPr>
        <w:fldChar w:fldCharType="end"/>
      </w:r>
      <w:r>
        <w:rPr>
          <w:rFonts w:ascii="Times New Roman" w:hAnsi="Times New Roman"/>
          <w:color w:val="EE0000"/>
          <w:sz w:val="24"/>
          <w:szCs w:val="24"/>
        </w:rPr>
        <w:t>. Moreover, a randomized phase III trial indicated that the combination of erlotinib and gemcitabine significantly improved survival outcomes in patients with advanced pancreatic cancer, although it was associated with several grade 1 and 2 adverse events. The overall survival (OS) was notably prolonged in the cohort receiving erlotinib/gemcitabine compared to those receiving gemcitabine plus placebo, with median survival times of 6.24 months versus 5.91 months, respectively (</w:t>
      </w:r>
      <w:r>
        <w:rPr>
          <w:rFonts w:ascii="Times New Roman" w:hAnsi="Times New Roman"/>
          <w:i/>
          <w:iCs/>
          <w:color w:val="EE0000"/>
          <w:sz w:val="24"/>
          <w:szCs w:val="24"/>
        </w:rPr>
        <w:t>P</w:t>
      </w:r>
      <w:r>
        <w:rPr>
          <w:rFonts w:ascii="Times New Roman" w:hAnsi="Times New Roman"/>
          <w:color w:val="EE0000"/>
          <w:sz w:val="24"/>
          <w:szCs w:val="24"/>
        </w:rPr>
        <w:t xml:space="preserve">=0.038) </w:t>
      </w:r>
      <w:r>
        <w:rPr>
          <w:rFonts w:ascii="Times New Roman" w:hAnsi="Times New Roman"/>
          <w:color w:val="EE0000"/>
          <w:sz w:val="24"/>
          <w:szCs w:val="24"/>
        </w:rPr>
        <w:fldChar w:fldCharType="begin">
          <w:fldData xml:space="preserve">PEVuZE5vdGU+PENpdGU+PEF1dGhvcj5Nb29yZTwvQXV0aG9yPjxZZWFyPjIwMDc8L1llYXI+PFJl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</w:fldData>
        </w:fldChar>
      </w:r>
      <w:r>
        <w:rPr>
          <w:rFonts w:ascii="Times New Roman" w:hAnsi="Times New Roman"/>
          <w:color w:val="EE0000"/>
          <w:sz w:val="24"/>
          <w:szCs w:val="24"/>
        </w:rPr>
        <w:instrText xml:space="preserve"> ADDIN EN.CITE </w:instrText>
      </w:r>
      <w:r>
        <w:rPr>
          <w:rFonts w:ascii="Times New Roman" w:hAnsi="Times New Roman"/>
          <w:color w:val="EE0000"/>
          <w:sz w:val="24"/>
          <w:szCs w:val="24"/>
        </w:rPr>
        <w:fldChar w:fldCharType="begin">
          <w:fldData xml:space="preserve">PEVuZE5vdGU+PENpdGU+PEF1dGhvcj5Nb29yZTwvQXV0aG9yPjxZZWFyPjIwMDc8L1llYXI+PFJl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</w:fldData>
        </w:fldChar>
      </w:r>
      <w:r>
        <w:rPr>
          <w:rFonts w:ascii="Times New Roman" w:hAnsi="Times New Roman"/>
          <w:color w:val="EE0000"/>
          <w:sz w:val="24"/>
          <w:szCs w:val="24"/>
        </w:rPr>
        <w:instrText xml:space="preserve"> ADDIN EN.CITE.DATA </w:instrText>
      </w:r>
      <w:r>
        <w:rPr>
          <w:rFonts w:ascii="Times New Roman" w:hAnsi="Times New Roman"/>
          <w:color w:val="EE0000"/>
          <w:sz w:val="24"/>
          <w:szCs w:val="24"/>
        </w:rPr>
        <w:fldChar w:fldCharType="end"/>
      </w:r>
      <w:r>
        <w:rPr>
          <w:rFonts w:ascii="Times New Roman" w:hAnsi="Times New Roman"/>
          <w:color w:val="EE0000"/>
          <w:sz w:val="24"/>
          <w:szCs w:val="24"/>
        </w:rPr>
        <w:fldChar w:fldCharType="separate"/>
      </w:r>
      <w:r>
        <w:rPr>
          <w:rFonts w:ascii="Times New Roman" w:hAnsi="Times New Roman"/>
          <w:color w:val="EE0000"/>
          <w:sz w:val="24"/>
          <w:szCs w:val="24"/>
        </w:rPr>
        <w:t>[9]</w:t>
      </w:r>
      <w:r>
        <w:rPr>
          <w:rFonts w:ascii="Times New Roman" w:hAnsi="Times New Roman"/>
          <w:color w:val="EE0000"/>
          <w:sz w:val="24"/>
          <w:szCs w:val="24"/>
        </w:rPr>
        <w:fldChar w:fldCharType="end"/>
      </w:r>
      <w:r>
        <w:rPr>
          <w:rFonts w:ascii="Times New Roman" w:hAnsi="Times New Roman"/>
          <w:color w:val="EE0000"/>
          <w:sz w:val="24"/>
          <w:szCs w:val="24"/>
        </w:rPr>
        <w:t>. Additionally, both one-year survival rates and progression-free survival were found to be superior in the erlotinib/gemcitabine group.</w:t>
      </w:r>
    </w:p>
    <w:p w14:paraId="52B716CB">
      <w:pPr>
        <w:rPr>
          <w:rFonts w:ascii="Times New Roman" w:hAnsi="Times New Roman"/>
          <w:color w:val="EE0000"/>
          <w:sz w:val="24"/>
          <w:szCs w:val="24"/>
        </w:rPr>
      </w:pPr>
    </w:p>
    <w:p w14:paraId="40368CF2">
      <w:pPr>
        <w:rPr>
          <w:rFonts w:ascii="Times New Roman" w:hAnsi="Times New Roman"/>
          <w:color w:val="EE0000"/>
          <w:sz w:val="24"/>
          <w:szCs w:val="24"/>
        </w:rPr>
      </w:pPr>
      <w:bookmarkStart w:id="13" w:name="OLE_LINK15"/>
      <w:r>
        <w:rPr>
          <w:rFonts w:ascii="Times New Roman" w:hAnsi="Times New Roman"/>
          <w:color w:val="EE0000"/>
          <w:sz w:val="24"/>
          <w:szCs w:val="24"/>
        </w:rPr>
        <w:t>Although erlotinib has been shown to improve the prognosis of patients with cancer, it is associated with a range of side effects. These include common adverse effects such as rash, diarrhea, loss of appetite, fatigue, and partial hair loss, as well as rare but serious effects like interstitial pneumonitis, ingrown hairs, gastrointestinal tract toxicity, skin toxicity, ocular disorders, and pulmonary toxicity</w:t>
      </w:r>
      <w:r>
        <w:t xml:space="preserve"> </w:t>
      </w:r>
      <w:r>
        <w:rPr>
          <w:rFonts w:ascii="Times New Roman" w:hAnsi="Times New Roman"/>
          <w:color w:val="EE0000"/>
          <w:sz w:val="24"/>
          <w:szCs w:val="24"/>
        </w:rPr>
        <w:fldChar w:fldCharType="begin"/>
      </w:r>
      <w:r>
        <w:rPr>
          <w:rFonts w:ascii="Times New Roman" w:hAnsi="Times New Roman"/>
          <w:color w:val="EE0000"/>
          <w:sz w:val="24"/>
          <w:szCs w:val="24"/>
        </w:rPr>
        <w:instrText xml:space="preserve"> ADDIN EN.CITE &lt;EndNote&gt;&lt;Cite&gt;&lt;Author&gt;Pourmadadi&lt;/Author&gt;&lt;Year&gt;2024&lt;/Year&gt;&lt;RecNum&gt;2&lt;/RecNum&gt;&lt;DisplayText&gt;[10, 11]&lt;/DisplayText&gt;&lt;record&gt;&lt;rec-number&gt;2&lt;/rec-number&gt;&lt;foreign-keys&gt;&lt;key app="EN" db-id="955vxarxlxsxwnep9taxses8ee0rexsrttsx" timestamp="1769486538"&gt;2&lt;/key&gt;&lt;/foreign-keys&gt;&lt;ref-type name="Journal Article"&gt;17&lt;/ref-type&gt;&lt;contributors&gt;&lt;authors&gt;&lt;author&gt;Pourmadadi, Mehrab&lt;/author&gt;&lt;author&gt;Mohammadzadeh, Vahideh&lt;/author&gt;&lt;author&gt;Mohammadi, Zahra Sadat&lt;/author&gt;&lt;author&gt;Poorkhalili, Pegah&lt;/author&gt;&lt;author&gt;Afjoul, Neda&lt;/author&gt;&lt;author&gt;Behzadmehr, Razieh&lt;/author&gt;&lt;author&gt;Fathi-Karkan, Sonia&lt;/author&gt;&lt;author&gt;Rahdar, Abbas&lt;/author&gt;&lt;author&gt;Ghotekar, Suresh&lt;/author&gt;&lt;/authors&gt;&lt;/contributors&gt;&lt;titles&gt;&lt;title&gt;Advances in erlotinib delivery systems: Addressing challenges and exploring opportunities in EGFR-targeted cancer therapies&lt;/title&gt;&lt;secondary-title&gt;Inorganic Chemistry Communications&lt;/secondary-title&gt;&lt;/titles&gt;&lt;periodical&gt;&lt;full-title&gt;Inorganic Chemistry Communications&lt;/full-title&gt;&lt;/periodical&gt;&lt;pages&gt;112114&lt;/pages&gt;&lt;volume&gt;161&lt;/volume&gt;&lt;dates&gt;&lt;year&gt;2024&lt;/year&gt;&lt;/dates&gt;&lt;isbn&gt;1387-7003&lt;/isbn&gt;&lt;urls&gt;&lt;/urls&gt;&lt;/record&gt;&lt;/Cite&gt;&lt;Cite&gt;&lt;Author&gt;Yan&lt;/Author&gt;&lt;Year&gt;2024&lt;/Year&gt;&lt;RecNum&gt;1&lt;/RecNum&gt;&lt;record&gt;&lt;rec-number&gt;1&lt;/rec-number&gt;&lt;foreign-keys&gt;&lt;key app="EN" db-id="955vxarxlxsxwnep9taxses8ee0rexsrttsx" timestamp="1769486524"&gt;1&lt;/key&gt;&lt;/foreign-keys&gt;&lt;ref-type name="Journal Article"&gt;17&lt;/ref-type&gt;&lt;contributors&gt;&lt;authors&gt;&lt;author&gt;Yan, Xin&lt;/author&gt;&lt;author&gt;Kong, Jingxian&lt;/author&gt;&lt;author&gt;Wang, Jiacheng&lt;/author&gt;&lt;author&gt;Wang, Caixia&lt;/author&gt;&lt;author&gt;Shen, Hongchang&lt;/author&gt;&lt;/authors&gt;&lt;/contributors&gt;&lt;titles&gt;&lt;title&gt;Severe megaloblastic anemia in a patient with advanced lung adenocarcinoma during treatment with erlotinib: a case report and literature review&lt;/title&gt;&lt;secondary-title&gt;BMC Pulmonary Medicine&lt;/secondary-title&gt;&lt;/titles&gt;&lt;periodical&gt;&lt;full-title&gt;BMC Pulmonary Medicine&lt;/full-title&gt;&lt;/periodical&gt;&lt;pages&gt;121&lt;/pages&gt;&lt;volume&gt;24&lt;/volume&gt;&lt;number&gt;1&lt;/number&gt;&lt;dates&gt;&lt;year&gt;2024&lt;/year&gt;&lt;/dates&gt;&lt;isbn&gt;1471-2466&lt;/isbn&gt;&lt;urls&gt;&lt;/urls&gt;&lt;/record&gt;&lt;/Cite&gt;&lt;/EndNote&gt;</w:instrText>
      </w:r>
      <w:r>
        <w:rPr>
          <w:rFonts w:ascii="Times New Roman" w:hAnsi="Times New Roman"/>
          <w:color w:val="EE0000"/>
          <w:sz w:val="24"/>
          <w:szCs w:val="24"/>
        </w:rPr>
        <w:fldChar w:fldCharType="separate"/>
      </w:r>
      <w:r>
        <w:rPr>
          <w:rFonts w:ascii="Times New Roman" w:hAnsi="Times New Roman"/>
          <w:color w:val="EE0000"/>
          <w:sz w:val="24"/>
          <w:szCs w:val="24"/>
        </w:rPr>
        <w:t>[10, 11]</w:t>
      </w:r>
      <w:r>
        <w:rPr>
          <w:rFonts w:ascii="Times New Roman" w:hAnsi="Times New Roman"/>
          <w:color w:val="EE0000"/>
          <w:sz w:val="24"/>
          <w:szCs w:val="24"/>
        </w:rPr>
        <w:fldChar w:fldCharType="end"/>
      </w:r>
      <w:r>
        <w:rPr>
          <w:rFonts w:ascii="Times New Roman" w:hAnsi="Times New Roman"/>
          <w:color w:val="EE0000"/>
          <w:sz w:val="24"/>
          <w:szCs w:val="24"/>
        </w:rPr>
        <w:t>. Given the spectrum of these adverse effects, it is imperative to conduct thorough monitoring of side effects and adverse drug reactions associated with erlotinib within a large-scale population. Notably, there exists a comprehensive database for tracking adverse drug reactions, known as the FDA Adverse Event Reporting System (FAERS). FAERS serves as a repository for the FDA's post-marketing safety surveillance data for all therapeutic drugs</w:t>
      </w:r>
      <w:r>
        <w:t xml:space="preserve"> </w:t>
      </w:r>
      <w:r>
        <w:rPr>
          <w:rFonts w:ascii="Times New Roman" w:hAnsi="Times New Roman"/>
          <w:color w:val="EE0000"/>
          <w:sz w:val="24"/>
          <w:szCs w:val="24"/>
        </w:rPr>
        <w:fldChar w:fldCharType="begin"/>
      </w:r>
      <w:r>
        <w:rPr>
          <w:rFonts w:ascii="Times New Roman" w:hAnsi="Times New Roman"/>
          <w:color w:val="EE0000"/>
          <w:sz w:val="24"/>
          <w:szCs w:val="24"/>
        </w:rPr>
        <w:instrText xml:space="preserve"> ADDIN EN.CITE &lt;EndNote&gt;&lt;Cite&gt;&lt;Author&gt;Luo&lt;/Author&gt;&lt;Year&gt;2025&lt;/Year&gt;&lt;RecNum&gt;4&lt;/RecNum&gt;&lt;DisplayText&gt;[12, 13]&lt;/DisplayText&gt;&lt;record&gt;&lt;rec-number&gt;4&lt;/rec-number&gt;&lt;foreign-keys&gt;&lt;key app="EN" db-id="955vxarxlxsxwnep9taxses8ee0rexsrttsx" timestamp="1769496980"&gt;4&lt;/key&gt;&lt;/foreign-keys&gt;&lt;ref-type name="Journal Article"&gt;17&lt;/ref-type&gt;&lt;contributors&gt;&lt;authors&gt;&lt;author&gt;Luo, Lan&lt;/author&gt;&lt;author&gt;Wang, Yue&lt;/author&gt;&lt;author&gt;Fu, Yumei&lt;/author&gt;&lt;author&gt;Chen, Xiangning&lt;/author&gt;&lt;author&gt;Liu, Shu&lt;/author&gt;&lt;author&gt;Zhao, Bin&lt;/author&gt;&lt;/authors</w:instrText>
      </w:r>
      <w:r>
        <w:rPr>
          <w:rFonts w:hint="eastAsia" w:ascii="Times New Roman" w:hAnsi="Times New Roman"/>
          <w:color w:val="EE0000"/>
          <w:sz w:val="24"/>
          <w:szCs w:val="24"/>
        </w:rPr>
        <w:instrText xml:space="preserve">&gt;&lt;/contributors&gt;&lt;titles&gt;&lt;title&gt;Comprehensive safety assessment of ribociclib: A real‐world analysis using the FDA Adverse Event Reporting System (FAERS) database&lt;/title&gt;&lt;secondary-title&gt;British Journal of Clinical Pharmacology&lt;/secondary-title&gt;&lt;/titles&gt;&lt;p</w:instrText>
      </w:r>
      <w:r>
        <w:rPr>
          <w:rFonts w:ascii="Times New Roman" w:hAnsi="Times New Roman"/>
          <w:color w:val="EE0000"/>
          <w:sz w:val="24"/>
          <w:szCs w:val="24"/>
        </w:rPr>
        <w:instrText xml:space="preserve">eriodical&gt;&lt;full-title&gt;British Journal of Clinical Pharmacology&lt;/full-title&gt;&lt;/periodical&gt;&lt;dates&gt;&lt;year&gt;2025&lt;/year&gt;&lt;/dates&gt;&lt;isbn&gt;0306-5251&lt;/isbn&gt;&lt;urls&gt;&lt;/urls&gt;&lt;/record&gt;&lt;/Cite&gt;&lt;Cite&gt;&lt;Author&gt;Ma&lt;/Author&gt;&lt;Year&gt;2026&lt;/Year&gt;&lt;RecNum&gt;3&lt;/RecNum&gt;&lt;record&gt;&lt;rec-number&gt;3&lt;/rec-number&gt;&lt;foreign-keys&gt;&lt;key app="EN" db-id="955vxarxlxsxwnep9taxses8ee0rexsrttsx" timestamp="1769496978"&gt;3&lt;/key&gt;&lt;/foreign-keys&gt;&lt;ref-type name="Journal Article"&gt;17&lt;/ref-type&gt;&lt;contributors&gt;&lt;authors&gt;&lt;author&gt;Ma, Yunhan&lt;/author&gt;&lt;author&gt;Wan, Zheng&lt;/author&gt;&lt;author&gt;Shi, Xiangying&lt;/author&gt;&lt;author&gt;Wang, Yan&lt;/author&gt;&lt;author&gt;Zhao, Bin&lt;/author&gt;&lt;/authors&gt;&lt;/contributors&gt;&lt;titles&gt;&lt;title&gt;Drug safety concern of Avelumab: real world data analysis in FAERS database&lt;/title&gt;&lt;secondary-title&gt;The American Journal of the Medical Sciences&lt;/secondary-title&gt;&lt;/titles&gt;&lt;periodical&gt;&lt;full-title&gt;The American Journal of the Medical Sciences&lt;/full-title&gt;&lt;/periodical&gt;&lt;dates&gt;&lt;year&gt;2026&lt;/year&gt;&lt;/dates&gt;&lt;isbn&gt;0002-9629&lt;/isbn&gt;&lt;urls&gt;&lt;/urls&gt;&lt;/record&gt;&lt;/Cite&gt;&lt;/EndNote&gt;</w:instrText>
      </w:r>
      <w:r>
        <w:rPr>
          <w:rFonts w:ascii="Times New Roman" w:hAnsi="Times New Roman"/>
          <w:color w:val="EE0000"/>
          <w:sz w:val="24"/>
          <w:szCs w:val="24"/>
        </w:rPr>
        <w:fldChar w:fldCharType="separate"/>
      </w:r>
      <w:r>
        <w:rPr>
          <w:rFonts w:ascii="Times New Roman" w:hAnsi="Times New Roman"/>
          <w:color w:val="EE0000"/>
          <w:sz w:val="24"/>
          <w:szCs w:val="24"/>
        </w:rPr>
        <w:t>[12, 13]</w:t>
      </w:r>
      <w:r>
        <w:rPr>
          <w:rFonts w:ascii="Times New Roman" w:hAnsi="Times New Roman"/>
          <w:color w:val="EE0000"/>
          <w:sz w:val="24"/>
          <w:szCs w:val="24"/>
        </w:rPr>
        <w:fldChar w:fldCharType="end"/>
      </w:r>
      <w:r>
        <w:rPr>
          <w:rFonts w:ascii="Times New Roman" w:hAnsi="Times New Roman"/>
          <w:color w:val="EE0000"/>
          <w:sz w:val="24"/>
          <w:szCs w:val="24"/>
        </w:rPr>
        <w:t>. It encompasses a vast array of adverse event reports submitted to the FDA by manufacturers in compliance with regulatory requirements, as well as reports submitted directly by consumers and healthcare professionals.</w:t>
      </w:r>
    </w:p>
    <w:bookmarkEnd w:id="13"/>
    <w:p w14:paraId="5E1428E5">
      <w:pPr>
        <w:rPr>
          <w:rFonts w:ascii="Times New Roman" w:hAnsi="Times New Roman"/>
          <w:color w:val="EE0000"/>
          <w:sz w:val="24"/>
          <w:szCs w:val="24"/>
        </w:rPr>
      </w:pPr>
    </w:p>
    <w:p w14:paraId="2E8C7300">
      <w:pPr>
        <w:rPr>
          <w:rFonts w:ascii="Times New Roman" w:hAnsi="Times New Roman"/>
          <w:color w:val="EE0000"/>
          <w:sz w:val="24"/>
          <w:szCs w:val="24"/>
        </w:rPr>
      </w:pPr>
      <w:r>
        <w:rPr>
          <w:rFonts w:ascii="Times New Roman" w:hAnsi="Times New Roman"/>
          <w:color w:val="EE0000"/>
          <w:sz w:val="24"/>
          <w:szCs w:val="24"/>
        </w:rPr>
        <w:t xml:space="preserve">Utilizing the FAERS database is an appropriate method for monitoring and assessing the safety of pharmaceuticals. Several scholars have made significant contributions to this area of research. For example, Zhou et al. emphasized that clinicians should be vigilant regarding medical events associated with SGLT2 inhibitors, utilizing the FAERS database to evaluate their safety </w:t>
      </w:r>
      <w:r>
        <w:rPr>
          <w:rFonts w:ascii="Times New Roman" w:hAnsi="Times New Roman"/>
          <w:sz w:val="24"/>
          <w:szCs w:val="24"/>
        </w:rPr>
        <w:t xml:space="preserve"> </w:t>
      </w:r>
      <w:r>
        <w:rPr>
          <w:rFonts w:ascii="Times New Roman" w:hAnsi="Times New Roman"/>
          <w:sz w:val="24"/>
          <w:szCs w:val="24"/>
        </w:rPr>
        <w:fldChar w:fldCharType="begin"/>
      </w:r>
      <w:r>
        <w:rPr>
          <w:rFonts w:ascii="Times New Roman" w:hAnsi="Times New Roman"/>
          <w:sz w:val="24"/>
          <w:szCs w:val="24"/>
        </w:rPr>
        <w:instrText xml:space="preserve"> ADDIN EN.CITE &lt;EndNote&gt;&lt;Cite&gt;&lt;Author&gt;Zhou&lt;/Author&gt;&lt;Year&gt;2021&lt;/Year&gt;&lt;RecNum&gt;11&lt;/RecNum&gt;&lt;DisplayText&gt;[14]&lt;/DisplayText&gt;&lt;record&gt;&lt;rec-number&gt;11&lt;/rec-number&gt;&lt;foreign-keys&gt;&lt;key app="EN" db-id="5fpdpfvt2tsstme95zuxd5xo2rx0r0fsvprw" timestamp="1674304146"&gt;11&lt;/key&gt;&lt;/foreign-keys&gt;&lt;ref-type name="Journal Article"&gt;17&lt;/ref-type&gt;&lt;contributors&gt;&lt;authors&gt;&lt;author&gt;Zhou, X.&lt;/author&gt;&lt;author&gt;Ye, X.&lt;/author&gt;&lt;author&gt;Guo, X.&lt;/author&gt;&lt;author&gt;Liu, D.&lt;/author&gt;&lt;author&gt;Xu, J.&lt;/author&gt;&lt;author&gt;Hu, F.&lt;/author&gt;&lt;author&gt;Zhai, Y.&lt;/author&gt;&lt;author&gt;Gao, Y.&lt;/author&gt;&lt;author&gt;Xu, X.&lt;/author&gt;&lt;author&gt;Dong, Z.&lt;/author&gt;&lt;author&gt;He, J.&lt;/author&gt;&lt;/authors&gt;&lt;/contributors&gt;&lt;auth-address&gt;School of Medicine, Tongji University, Shanghai, China.&amp;#xD;Department of Health Statistics, Second Military Medical University, Shanghai, China.&lt;/auth-address&gt;&lt;titles&gt;&lt;title&gt;Safety of SGLT2 Inhibitors: A Pharmacovigilance Study from 2013 to 2021 Based on FAERS&lt;/title&gt;&lt;secondary-title&gt;Front Pharmacol&lt;/secondary-title&gt;&lt;/titles&gt;&lt;periodical&gt;&lt;full-title&gt;Front Pharmacol&lt;/full-title&gt;&lt;/periodical&gt;&lt;pages&gt;766125&lt;/pages&gt;&lt;volume&gt;12&lt;/volume&gt;&lt;edition&gt;2022/01/07&lt;/edition&gt;&lt;keywords&gt;&lt;keyword&gt;Faers&lt;/keyword&gt;&lt;keyword&gt;SGLT2 inhibitor&lt;/keyword&gt;&lt;keyword&gt;adverse event&lt;/keyword&gt;&lt;keyword&gt;diabetes&lt;/keyword&gt;&lt;keyword&gt;disproportionality&lt;/keyword&gt;&lt;keyword&gt;important medical events&lt;/keyword&gt;&lt;keyword&gt;pharmacovigilance&lt;/keyword&gt;&lt;keyword&gt;commercial or financial relationships that could be construed as a potential&lt;/keyword&gt;&lt;keyword&gt;conflict of interest.&lt;/keyword&gt;&lt;/keywords&gt;&lt;dates&gt;&lt;year&gt;2021&lt;/year&gt;&lt;/dates&gt;&lt;isbn&gt;1663-9812 (Print)&amp;#xD;1663-9812 (Electronic)&amp;#xD;1663-9812 (Linking)&lt;/isbn&gt;&lt;accession-num&gt;34987394&lt;/accession-num&gt;&lt;urls&gt;&lt;related-urls&gt;&lt;url&gt;https://www.ncbi.nlm.nih.gov/pubmed/34987394&lt;/url&gt;&lt;/related-urls&gt;&lt;/urls&gt;&lt;custom2&gt;PMC8721280&lt;/custom2&gt;&lt;electronic-resource-num&gt;10.3389/fphar.2021.766125&lt;/electronic-resource-num&gt;&lt;/record&gt;&lt;/Cite&gt;&lt;/EndNote&gt;</w:instrText>
      </w:r>
      <w:r>
        <w:rPr>
          <w:rFonts w:ascii="Times New Roman" w:hAnsi="Times New Roman"/>
          <w:sz w:val="24"/>
          <w:szCs w:val="24"/>
        </w:rPr>
        <w:fldChar w:fldCharType="separate"/>
      </w:r>
      <w:r>
        <w:rPr>
          <w:rFonts w:ascii="Times New Roman" w:hAnsi="Times New Roman"/>
          <w:sz w:val="24"/>
          <w:szCs w:val="24"/>
        </w:rPr>
        <w:t>[14]</w:t>
      </w:r>
      <w:r>
        <w:rPr>
          <w:rFonts w:ascii="Times New Roman" w:hAnsi="Times New Roman"/>
          <w:sz w:val="24"/>
          <w:szCs w:val="24"/>
        </w:rPr>
        <w:fldChar w:fldCharType="end"/>
      </w:r>
      <w:r>
        <w:rPr>
          <w:rFonts w:ascii="Times New Roman" w:hAnsi="Times New Roman"/>
          <w:color w:val="EE0000"/>
          <w:sz w:val="24"/>
          <w:szCs w:val="24"/>
        </w:rPr>
        <w:t xml:space="preserve">. Additionally, Su et al. recommended enhancing the surveillance of unanticipated adverse events not specified in the prescribing information for patients with renal cell carcinoma undergoing treatment with axitinib </w:t>
      </w:r>
      <w:r>
        <w:rPr>
          <w:rFonts w:ascii="Times New Roman" w:hAnsi="Times New Roman"/>
          <w:sz w:val="24"/>
          <w:szCs w:val="24"/>
        </w:rPr>
        <w:fldChar w:fldCharType="begin">
          <w:fldData xml:space="preserve">PEVuZE5vdGU+PENpdGU+PEF1dGhvcj5TaHU8L0F1dGhvcj48WWVhcj4yMDIyPC9ZZWFyPjxSZWNO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==
</w:fldData>
        </w:fldChar>
      </w:r>
      <w:r>
        <w:rPr>
          <w:rFonts w:ascii="Times New Roman" w:hAnsi="Times New Roman"/>
          <w:sz w:val="24"/>
          <w:szCs w:val="24"/>
        </w:rPr>
        <w:instrText xml:space="preserve"> ADDIN EN.CITE </w:instrText>
      </w:r>
      <w:r>
        <w:rPr>
          <w:rFonts w:ascii="Times New Roman" w:hAnsi="Times New Roman"/>
          <w:sz w:val="24"/>
          <w:szCs w:val="24"/>
        </w:rPr>
        <w:fldChar w:fldCharType="begin">
          <w:fldData xml:space="preserve">PEVuZE5vdGU+PENpdGU+PEF1dGhvcj5TaHU8L0F1dGhvcj48WWVhcj4yMDIyPC9ZZWFyPjxSZWNO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==
</w:fldData>
        </w:fldChar>
      </w:r>
      <w:r>
        <w:rPr>
          <w:rFonts w:ascii="Times New Roman" w:hAnsi="Times New Roman"/>
          <w:sz w:val="24"/>
          <w:szCs w:val="24"/>
        </w:rPr>
        <w:instrText xml:space="preserve"> ADDIN EN.CITE.DATA </w:instrText>
      </w:r>
      <w:r>
        <w:rPr>
          <w:rFonts w:ascii="Times New Roman" w:hAnsi="Times New Roman"/>
          <w:sz w:val="24"/>
          <w:szCs w:val="24"/>
        </w:rPr>
        <w:fldChar w:fldCharType="end"/>
      </w:r>
      <w:r>
        <w:rPr>
          <w:rFonts w:ascii="Times New Roman" w:hAnsi="Times New Roman"/>
          <w:sz w:val="24"/>
          <w:szCs w:val="24"/>
        </w:rPr>
        <w:fldChar w:fldCharType="separate"/>
      </w:r>
      <w:r>
        <w:rPr>
          <w:rFonts w:ascii="Times New Roman" w:hAnsi="Times New Roman"/>
          <w:sz w:val="24"/>
          <w:szCs w:val="24"/>
        </w:rPr>
        <w:t>[15]</w:t>
      </w:r>
      <w:r>
        <w:rPr>
          <w:rFonts w:ascii="Times New Roman" w:hAnsi="Times New Roman"/>
          <w:sz w:val="24"/>
          <w:szCs w:val="24"/>
        </w:rPr>
        <w:fldChar w:fldCharType="end"/>
      </w:r>
      <w:r>
        <w:rPr>
          <w:rFonts w:ascii="Times New Roman" w:hAnsi="Times New Roman"/>
          <w:color w:val="EE0000"/>
          <w:sz w:val="24"/>
          <w:szCs w:val="24"/>
        </w:rPr>
        <w:t>.</w:t>
      </w:r>
    </w:p>
    <w:bookmarkEnd w:id="9"/>
    <w:bookmarkEnd w:id="10"/>
    <w:p w14:paraId="0BB3A9B5">
      <w:pPr>
        <w:rPr>
          <w:rFonts w:ascii="Times New Roman" w:hAnsi="Times New Roman"/>
          <w:sz w:val="24"/>
          <w:szCs w:val="24"/>
        </w:rPr>
      </w:pPr>
      <w:bookmarkStart w:id="14" w:name="OLE_LINK1"/>
      <w:bookmarkEnd w:id="14"/>
      <w:bookmarkStart w:id="15" w:name="OLE_LINK59"/>
      <w:bookmarkStart w:id="16" w:name="OLE_LINK58"/>
    </w:p>
    <w:p w14:paraId="522F679D">
      <w:pPr>
        <w:rPr>
          <w:rFonts w:ascii="Times New Roman" w:hAnsi="Times New Roman"/>
          <w:color w:val="EE0000"/>
          <w:sz w:val="24"/>
          <w:szCs w:val="24"/>
        </w:rPr>
      </w:pPr>
      <w:r>
        <w:rPr>
          <w:rFonts w:ascii="Times New Roman" w:hAnsi="Times New Roman"/>
          <w:color w:val="EE0000"/>
          <w:sz w:val="24"/>
          <w:szCs w:val="24"/>
        </w:rPr>
        <w:t xml:space="preserve">In this study, we obtained data from the </w:t>
      </w:r>
      <w:r>
        <w:rPr>
          <w:rFonts w:hint="eastAsia" w:ascii="Times New Roman" w:hAnsi="Times New Roman"/>
          <w:color w:val="EE0000"/>
          <w:sz w:val="24"/>
          <w:szCs w:val="24"/>
        </w:rPr>
        <w:t>FAERS</w:t>
      </w:r>
      <w:r>
        <w:rPr>
          <w:rFonts w:ascii="Times New Roman" w:hAnsi="Times New Roman"/>
          <w:color w:val="EE0000"/>
          <w:sz w:val="24"/>
          <w:szCs w:val="24"/>
        </w:rPr>
        <w:t xml:space="preserve"> spanning from the first quarter of 2005 to the fourth quarter of 2021. We analyzed the correlation between erlotinib and </w:t>
      </w:r>
      <w:r>
        <w:rPr>
          <w:rFonts w:hint="eastAsia" w:ascii="Times New Roman" w:hAnsi="Times New Roman"/>
          <w:color w:val="EE0000"/>
          <w:sz w:val="24"/>
          <w:szCs w:val="24"/>
        </w:rPr>
        <w:t>adverse events (</w:t>
      </w:r>
      <w:r>
        <w:rPr>
          <w:rFonts w:ascii="Times New Roman" w:hAnsi="Times New Roman"/>
          <w:color w:val="EE0000"/>
          <w:sz w:val="24"/>
          <w:szCs w:val="24"/>
        </w:rPr>
        <w:t>AEs</w:t>
      </w:r>
      <w:r>
        <w:rPr>
          <w:rFonts w:hint="eastAsia" w:ascii="Times New Roman" w:hAnsi="Times New Roman"/>
          <w:color w:val="EE0000"/>
          <w:sz w:val="24"/>
          <w:szCs w:val="24"/>
        </w:rPr>
        <w:t>)</w:t>
      </w:r>
      <w:r>
        <w:rPr>
          <w:rFonts w:ascii="Times New Roman" w:hAnsi="Times New Roman"/>
          <w:color w:val="EE0000"/>
          <w:sz w:val="24"/>
          <w:szCs w:val="24"/>
        </w:rPr>
        <w:t xml:space="preserve"> in patients with NSCLC and PC, employing disproportionality analysis methods to identify signals of erlotinib-related adverse drug reactions (ADRs). An adverse event (AE) refers to an occurrence following the administration of a pharmaceutical product; however, this does not inherently imply a causal relationship. Nonetheless, statistical, biological, or clinical analyses of this association may elucidate such a causal relationship, which is then classified as an adverse drug reaction (ADR) </w:t>
      </w:r>
      <w:r>
        <w:rPr>
          <w:rFonts w:ascii="Times New Roman" w:hAnsi="Times New Roman"/>
          <w:color w:val="EE0000"/>
          <w:sz w:val="24"/>
          <w:szCs w:val="24"/>
        </w:rPr>
        <w:fldChar w:fldCharType="begin"/>
      </w:r>
      <w:r>
        <w:rPr>
          <w:rFonts w:ascii="Times New Roman" w:hAnsi="Times New Roman"/>
          <w:color w:val="EE0000"/>
          <w:sz w:val="24"/>
          <w:szCs w:val="24"/>
        </w:rPr>
        <w:instrText xml:space="preserve"> ADDIN EN.CITE &lt;EndNote&gt;&lt;Cite&gt;&lt;Author&gt;Wikipedia contributors&lt;/Author&gt;&lt;Year&gt;2025&lt;/Year&gt;&lt;RecNum&gt;9&lt;/RecNum&gt;&lt;DisplayText&gt;[16]&lt;/DisplayText&gt;&lt;record&gt;&lt;rec-number&gt;9&lt;/rec-number&gt;&lt;foreign-keys&gt;&lt;key app="EN" db-id="955vxarxlxsxwnep9taxses8ee0rexsrttsx" timestamp="1770867967"&gt;9&lt;/key&gt;&lt;/foreign-keys&gt;&lt;ref-type name="Web Page"&gt;12&lt;/ref-type&gt;&lt;contributors&gt;&lt;authors&gt;&lt;author&gt;Wikipedia contributors,&lt;/author&gt;&lt;/authors&gt;&lt;/contributors&gt;&lt;titles&gt;&lt;title&gt;Adverse event&amp;#xD;&lt;/title&gt;&lt;/titles&gt;&lt;dates&gt;&lt;year&gt;2025&lt;/year&gt;&lt;/dates&gt;&lt;urls&gt;&lt;related-urls&gt;&lt;url&gt;https://en.wikipedia.org/wiki/Adverse_event&lt;/url&gt;&lt;/related-urls&gt;&lt;/urls&gt;&lt;/record&gt;&lt;/Cite&gt;&lt;/EndNote&gt;</w:instrText>
      </w:r>
      <w:r>
        <w:rPr>
          <w:rFonts w:ascii="Times New Roman" w:hAnsi="Times New Roman"/>
          <w:color w:val="EE0000"/>
          <w:sz w:val="24"/>
          <w:szCs w:val="24"/>
        </w:rPr>
        <w:fldChar w:fldCharType="separate"/>
      </w:r>
      <w:r>
        <w:rPr>
          <w:rFonts w:ascii="Times New Roman" w:hAnsi="Times New Roman"/>
          <w:color w:val="EE0000"/>
          <w:sz w:val="24"/>
          <w:szCs w:val="24"/>
        </w:rPr>
        <w:t>[16]</w:t>
      </w:r>
      <w:r>
        <w:rPr>
          <w:rFonts w:ascii="Times New Roman" w:hAnsi="Times New Roman"/>
          <w:color w:val="EE0000"/>
          <w:sz w:val="24"/>
          <w:szCs w:val="24"/>
        </w:rPr>
        <w:fldChar w:fldCharType="end"/>
      </w:r>
      <w:r>
        <w:rPr>
          <w:rFonts w:ascii="Times New Roman" w:hAnsi="Times New Roman"/>
          <w:color w:val="EE0000"/>
          <w:sz w:val="24"/>
          <w:szCs w:val="24"/>
        </w:rPr>
        <w:t>. The primary objective of this study was to identify new and unexpected ADRs that are not documented on the drug label.</w:t>
      </w:r>
    </w:p>
    <w:bookmarkEnd w:id="11"/>
    <w:bookmarkEnd w:id="12"/>
    <w:bookmarkEnd w:id="15"/>
    <w:bookmarkEnd w:id="16"/>
    <w:p w14:paraId="1645742C">
      <w:pPr>
        <w:rPr>
          <w:rFonts w:ascii="Times New Roman Regular" w:hAnsi="Times New Roman Regular"/>
          <w:color w:val="EE0000"/>
        </w:rPr>
      </w:pPr>
    </w:p>
    <w:p w14:paraId="018676CF">
      <w:pPr>
        <w:rPr>
          <w:rFonts w:ascii="Times New Roman Bold" w:hAnsi="Times New Roman Bold" w:cs="Times New Roman Bold"/>
          <w:b/>
          <w:bCs/>
          <w:sz w:val="28"/>
          <w:szCs w:val="28"/>
        </w:rPr>
      </w:pPr>
      <w:r>
        <w:rPr>
          <w:rFonts w:ascii="Times New Roman Bold" w:hAnsi="Times New Roman Bold" w:cs="Times New Roman Bold"/>
          <w:b/>
          <w:bCs/>
          <w:sz w:val="28"/>
          <w:szCs w:val="28"/>
        </w:rPr>
        <w:t>Methods and Materials</w:t>
      </w:r>
    </w:p>
    <w:p w14:paraId="1E8886DE">
      <w:pPr>
        <w:rPr>
          <w:rFonts w:ascii="Times New Roman Italic" w:hAnsi="Times New Roman Italic"/>
          <w:i/>
          <w:iCs/>
          <w:sz w:val="24"/>
          <w:szCs w:val="24"/>
        </w:rPr>
      </w:pPr>
      <w:bookmarkStart w:id="17" w:name="OLE_LINK5"/>
      <w:bookmarkStart w:id="18" w:name="OLE_LINK4"/>
      <w:r>
        <w:rPr>
          <w:rFonts w:ascii="Times New Roman Italic" w:hAnsi="Times New Roman Italic"/>
          <w:i/>
          <w:iCs/>
          <w:sz w:val="24"/>
          <w:szCs w:val="24"/>
        </w:rPr>
        <w:t>Data Source and Preprocessing</w:t>
      </w:r>
    </w:p>
    <w:p w14:paraId="76AAB7CE">
      <w:pPr>
        <w:rPr>
          <w:rFonts w:ascii="Times New Roman" w:hAnsi="Times New Roman"/>
          <w:sz w:val="24"/>
          <w:szCs w:val="24"/>
        </w:rPr>
      </w:pPr>
      <w:bookmarkStart w:id="19" w:name="OLE_LINK18"/>
      <w:r>
        <w:rPr>
          <w:rFonts w:ascii="Times New Roman" w:hAnsi="Times New Roman"/>
          <w:sz w:val="24"/>
          <w:szCs w:val="24"/>
        </w:rPr>
        <w:t>Data associated with erlotinib/tarceva was acquired from the open-access database</w:t>
      </w:r>
      <w:r>
        <w:rPr>
          <w:rFonts w:hint="eastAsia" w:ascii="Times New Roman" w:hAnsi="Times New Roman"/>
          <w:sz w:val="24"/>
          <w:szCs w:val="24"/>
        </w:rPr>
        <w:t xml:space="preserve"> known as the</w:t>
      </w:r>
      <w:r>
        <w:rPr>
          <w:rFonts w:ascii="Times New Roman" w:hAnsi="Times New Roman"/>
          <w:sz w:val="24"/>
          <w:szCs w:val="24"/>
        </w:rPr>
        <w:t xml:space="preserve"> FDA adverse event </w:t>
      </w:r>
      <w:r>
        <w:rPr>
          <w:rFonts w:hint="eastAsia" w:ascii="Times New Roman" w:hAnsi="Times New Roman"/>
          <w:sz w:val="24"/>
          <w:szCs w:val="24"/>
        </w:rPr>
        <w:t>reporting</w:t>
      </w:r>
      <w:r>
        <w:rPr>
          <w:rFonts w:ascii="Times New Roman" w:hAnsi="Times New Roman"/>
          <w:sz w:val="24"/>
          <w:szCs w:val="24"/>
        </w:rPr>
        <w:t xml:space="preserve"> </w:t>
      </w:r>
      <w:r>
        <w:rPr>
          <w:rFonts w:hint="eastAsia" w:ascii="Times New Roman" w:hAnsi="Times New Roman"/>
          <w:sz w:val="24"/>
          <w:szCs w:val="24"/>
        </w:rPr>
        <w:t>system (FAERS)</w:t>
      </w:r>
      <w:r>
        <w:rPr>
          <w:rFonts w:ascii="Times New Roman" w:hAnsi="Times New Roman"/>
          <w:sz w:val="24"/>
          <w:szCs w:val="24"/>
        </w:rPr>
        <w:t xml:space="preserve">. </w:t>
      </w:r>
      <w:r>
        <w:rPr>
          <w:rFonts w:ascii="Times New Roman" w:hAnsi="Times New Roman"/>
          <w:color w:val="EE0000"/>
          <w:sz w:val="24"/>
          <w:szCs w:val="24"/>
        </w:rPr>
        <w:t>The FAERS data utilized in this study were collected and pre-processed using SAS and Navicat for MySQL software. The cleaned and standardized dataset pertaining to erlotinib/Tarceva in FAERS involved the removal of duplicate case records and the mapping of drug names to RxNorm concepts, as well as adverse drug reaction (ADR) outcomes to Medical Dictionary for Regulatory Activities (MedDRA®) concepts</w:t>
      </w:r>
      <w:r>
        <w:t xml:space="preserve"> </w:t>
      </w:r>
      <w:r>
        <w:rPr>
          <w:rFonts w:ascii="Times New Roman" w:hAnsi="Times New Roman"/>
          <w:sz w:val="24"/>
          <w:szCs w:val="24"/>
        </w:rPr>
        <w:fldChar w:fldCharType="begin"/>
      </w:r>
      <w:r>
        <w:rPr>
          <w:rFonts w:ascii="Times New Roman" w:hAnsi="Times New Roman"/>
          <w:sz w:val="24"/>
          <w:szCs w:val="24"/>
        </w:rPr>
        <w:instrText xml:space="preserve"> ADDIN EN.CITE &lt;EndNote&gt;&lt;Cite&gt;&lt;Author&gt;Liu&lt;/Author&gt;&lt;Year&gt;2005&lt;/Year&gt;&lt;RecNum&gt;26&lt;/RecNum&gt;&lt;DisplayText&gt;[17]&lt;/DisplayText&gt;&lt;record&gt;&lt;rec-number&gt;26&lt;/rec-number&gt;&lt;foreign-keys&gt;&lt;key app="EN" db-id="5fpdpfvt2tsstme95zuxd5xo2rx0r0fsvprw" timestamp="1674475278"&gt;26&lt;/key&gt;&lt;/foreign-keys&gt;&lt;ref-type name="Journal Article"&gt;17&lt;/ref-type&gt;&lt;contributors&gt;&lt;authors&gt;&lt;author&gt;Liu, S.&lt;/author&gt;&lt;author&gt;Ma, W.&lt;/author&gt;&lt;author&gt;Moore, R.&lt;/author&gt;&lt;author&gt;Ganesan, V.&lt;/author&gt;&lt;author&gt;Nelson, S.&lt;/author&gt;&lt;/authors&gt;&lt;/contributors&gt;&lt;titles&gt;&lt;title&gt;RxNorm: Prescription for Electronic Drug Information Exchange. In IT Professional&lt;/title&gt;&lt;/titles&gt;&lt;dates&gt;&lt;year&gt;2005&lt;/year&gt;&lt;/dates&gt;&lt;urls&gt;&lt;/urls&gt;&lt;/record&gt;&lt;/Cite&gt;&lt;/EndNote&gt;</w:instrText>
      </w:r>
      <w:r>
        <w:rPr>
          <w:rFonts w:ascii="Times New Roman" w:hAnsi="Times New Roman"/>
          <w:sz w:val="24"/>
          <w:szCs w:val="24"/>
        </w:rPr>
        <w:fldChar w:fldCharType="separate"/>
      </w:r>
      <w:r>
        <w:rPr>
          <w:rFonts w:ascii="Times New Roman" w:hAnsi="Times New Roman"/>
          <w:sz w:val="24"/>
          <w:szCs w:val="24"/>
        </w:rPr>
        <w:t>[17]</w:t>
      </w:r>
      <w:r>
        <w:rPr>
          <w:rFonts w:ascii="Times New Roman" w:hAnsi="Times New Roman"/>
          <w:sz w:val="24"/>
          <w:szCs w:val="24"/>
        </w:rPr>
        <w:fldChar w:fldCharType="end"/>
      </w:r>
      <w:r>
        <w:rPr>
          <w:rFonts w:ascii="Times New Roman" w:hAnsi="Times New Roman"/>
          <w:sz w:val="24"/>
          <w:szCs w:val="24"/>
        </w:rPr>
        <w:t>. We collected</w:t>
      </w:r>
      <w:r>
        <w:rPr>
          <w:rFonts w:ascii="Times New Roman" w:hAnsi="Times New Roman"/>
          <w:color w:val="EE0000"/>
          <w:sz w:val="24"/>
          <w:szCs w:val="24"/>
        </w:rPr>
        <w:t xml:space="preserve"> </w:t>
      </w:r>
      <w:r>
        <w:rPr>
          <w:rFonts w:hint="eastAsia" w:ascii="Times New Roman" w:hAnsi="Times New Roman"/>
          <w:color w:val="EE0000"/>
          <w:sz w:val="24"/>
          <w:szCs w:val="24"/>
        </w:rPr>
        <w:t xml:space="preserve">data </w:t>
      </w:r>
      <w:r>
        <w:rPr>
          <w:rFonts w:hint="eastAsia" w:ascii="Times New Roman" w:hAnsi="Times New Roman"/>
          <w:sz w:val="24"/>
          <w:szCs w:val="24"/>
        </w:rPr>
        <w:t xml:space="preserve">on </w:t>
      </w:r>
      <w:r>
        <w:rPr>
          <w:rFonts w:ascii="Times New Roman" w:hAnsi="Times New Roman"/>
          <w:sz w:val="24"/>
          <w:szCs w:val="24"/>
        </w:rPr>
        <w:t>erlotinib-related AEs</w:t>
      </w:r>
      <w:r>
        <w:rPr>
          <w:rFonts w:hint="eastAsia" w:ascii="Times New Roman" w:hAnsi="Times New Roman"/>
          <w:sz w:val="24"/>
          <w:szCs w:val="24"/>
        </w:rPr>
        <w:t xml:space="preserve"> </w:t>
      </w:r>
      <w:r>
        <w:rPr>
          <w:rFonts w:hint="eastAsia" w:ascii="Times New Roman" w:hAnsi="Times New Roman"/>
          <w:color w:val="EE0000"/>
          <w:sz w:val="24"/>
          <w:szCs w:val="24"/>
        </w:rPr>
        <w:t xml:space="preserve">over </w:t>
      </w:r>
      <w:r>
        <w:rPr>
          <w:rFonts w:ascii="Times New Roman" w:hAnsi="Times New Roman"/>
          <w:color w:val="EE0000"/>
          <w:sz w:val="24"/>
          <w:szCs w:val="24"/>
        </w:rPr>
        <w:t>17</w:t>
      </w:r>
      <w:r>
        <w:rPr>
          <w:rFonts w:hint="eastAsia" w:ascii="Times New Roman" w:hAnsi="Times New Roman"/>
          <w:color w:val="EE0000"/>
          <w:sz w:val="24"/>
          <w:szCs w:val="24"/>
        </w:rPr>
        <w:t>-</w:t>
      </w:r>
      <w:r>
        <w:rPr>
          <w:rFonts w:ascii="Times New Roman" w:hAnsi="Times New Roman"/>
          <w:color w:val="EE0000"/>
          <w:sz w:val="24"/>
          <w:szCs w:val="24"/>
        </w:rPr>
        <w:t>year period</w:t>
      </w:r>
      <w:r>
        <w:rPr>
          <w:rFonts w:hint="eastAsia" w:ascii="Times New Roman" w:hAnsi="Times New Roman"/>
          <w:color w:val="EE0000"/>
          <w:sz w:val="24"/>
          <w:szCs w:val="24"/>
        </w:rPr>
        <w:t>,</w:t>
      </w:r>
      <w:r>
        <w:rPr>
          <w:rFonts w:ascii="Times New Roman" w:hAnsi="Times New Roman"/>
          <w:color w:val="EE0000"/>
          <w:sz w:val="24"/>
          <w:szCs w:val="24"/>
        </w:rPr>
        <w:t xml:space="preserve"> </w:t>
      </w:r>
      <w:r>
        <w:rPr>
          <w:rFonts w:hint="eastAsia" w:ascii="Times New Roman" w:hAnsi="Times New Roman"/>
          <w:color w:val="EE0000"/>
          <w:sz w:val="24"/>
          <w:szCs w:val="24"/>
        </w:rPr>
        <w:t>spanning from</w:t>
      </w:r>
      <w:r>
        <w:rPr>
          <w:rFonts w:ascii="Times New Roman" w:hAnsi="Times New Roman"/>
          <w:sz w:val="24"/>
          <w:szCs w:val="24"/>
        </w:rPr>
        <w:t xml:space="preserve"> the first quarter of 2005 to the last quarter of 2021 (2005Q1-2021Q4). </w:t>
      </w:r>
      <w:r>
        <w:rPr>
          <w:rFonts w:ascii="Times New Roman" w:hAnsi="Times New Roman"/>
          <w:color w:val="EE0000"/>
          <w:sz w:val="24"/>
          <w:szCs w:val="24"/>
        </w:rPr>
        <w:t xml:space="preserve">To isolate </w:t>
      </w:r>
      <w:r>
        <w:rPr>
          <w:rFonts w:hint="eastAsia" w:ascii="Times New Roman" w:hAnsi="Times New Roman"/>
          <w:color w:val="EE0000"/>
          <w:sz w:val="24"/>
          <w:szCs w:val="24"/>
        </w:rPr>
        <w:t>ADR</w:t>
      </w:r>
      <w:r>
        <w:rPr>
          <w:rFonts w:ascii="Times New Roman" w:hAnsi="Times New Roman"/>
          <w:color w:val="EE0000"/>
          <w:sz w:val="24"/>
          <w:szCs w:val="24"/>
        </w:rPr>
        <w:t>s associated with erlotinib, we utilized the Individual Safety Report (ISR) number</w:t>
      </w:r>
      <w:r>
        <w:rPr>
          <w:rFonts w:hint="eastAsia" w:ascii="Times New Roman" w:hAnsi="Times New Roman"/>
          <w:color w:val="EE0000"/>
          <w:sz w:val="24"/>
          <w:szCs w:val="24"/>
        </w:rPr>
        <w:t>-</w:t>
      </w:r>
      <w:r>
        <w:rPr>
          <w:rFonts w:ascii="Times New Roman" w:hAnsi="Times New Roman"/>
          <w:color w:val="EE0000"/>
          <w:sz w:val="24"/>
          <w:szCs w:val="24"/>
        </w:rPr>
        <w:t>a unique identifier assigned to each case in the FAERS database. Duplicate entries were identified by matching ISR numbers across records. When multiple reports referenced the same ISR, only the most recent version of the case was retained to ensure data uniqueness.</w:t>
      </w:r>
      <w:r>
        <w:rPr>
          <w:rFonts w:hint="eastAsia" w:ascii="Times New Roman" w:hAnsi="Times New Roman"/>
          <w:color w:val="EE0000"/>
          <w:sz w:val="24"/>
          <w:szCs w:val="24"/>
        </w:rPr>
        <w:t xml:space="preserve"> </w:t>
      </w:r>
      <w:r>
        <w:rPr>
          <w:rFonts w:ascii="Times New Roman" w:hAnsi="Times New Roman"/>
          <w:color w:val="EE0000"/>
          <w:sz w:val="24"/>
          <w:szCs w:val="24"/>
        </w:rPr>
        <w:t>All AEs were statistically analyzed to extract significant ADRs, subsequently categorizing these ADR terms into preferred terms (PTs) and system organ classes (SOCs), which represent different levels of MedDRA</w:t>
      </w:r>
      <w:r>
        <w:t xml:space="preserve"> </w:t>
      </w:r>
      <w:r>
        <w:rPr>
          <w:rFonts w:ascii="Times New Roman" w:hAnsi="Times New Roman"/>
          <w:sz w:val="24"/>
          <w:szCs w:val="24"/>
        </w:rPr>
        <w:fldChar w:fldCharType="begin"/>
      </w:r>
      <w:r>
        <w:rPr>
          <w:rFonts w:ascii="Times New Roman" w:hAnsi="Times New Roman"/>
          <w:sz w:val="24"/>
          <w:szCs w:val="24"/>
        </w:rPr>
        <w:instrText xml:space="preserve"> ADDIN EN.CITE &lt;EndNote&gt;&lt;Cite&gt;&lt;Author&gt;Brown&lt;/Author&gt;&lt;Year&gt;2004&lt;/Year&gt;&lt;RecNum&gt;27&lt;/RecNum&gt;&lt;DisplayText&gt;[18]&lt;/DisplayText&gt;&lt;record&gt;&lt;rec-number&gt;27&lt;/rec-number&gt;&lt;foreign-keys&gt;&lt;key app="EN" db-id="5fpdpfvt2tsstme95zuxd5xo2rx0r0fsvprw" timestamp="1674475318"&gt;27&lt;/key&gt;&lt;/foreign-keys&gt;&lt;ref-type name="Journal Article"&gt;17&lt;/ref-type&gt;&lt;contributors&gt;&lt;authors&gt;&lt;author&gt;Brown, E. G.&lt;/author&gt;&lt;/authors&gt;&lt;/contributors&gt;&lt;titles&gt;&lt;title&gt;Using MedDRA: implications for risk management&lt;/title&gt;&lt;secondary-title&gt;Drug Safety An International Journal of Medical Toxicology &amp;amp; Drug Experience&lt;/secondary-title&gt;&lt;/titles&gt;&lt;periodical&gt;&lt;full-title&gt;Drug Safety An International Journal of Medical Toxicology &amp;amp; Drug Experience&lt;/full-title&gt;&lt;/periodical&gt;&lt;pages&gt;591-602&lt;/pages&gt;&lt;volume&gt;27&lt;/volume&gt;&lt;number&gt;8&lt;/number&gt;&lt;dates&gt;&lt;year&gt;2004&lt;/year&gt;&lt;/dates&gt;&lt;urls&gt;&lt;/urls&gt;&lt;/record&gt;&lt;/Cite&gt;&lt;/EndNote&gt;</w:instrText>
      </w:r>
      <w:r>
        <w:rPr>
          <w:rFonts w:ascii="Times New Roman" w:hAnsi="Times New Roman"/>
          <w:sz w:val="24"/>
          <w:szCs w:val="24"/>
        </w:rPr>
        <w:fldChar w:fldCharType="separate"/>
      </w:r>
      <w:r>
        <w:rPr>
          <w:rFonts w:ascii="Times New Roman" w:hAnsi="Times New Roman"/>
          <w:sz w:val="24"/>
          <w:szCs w:val="24"/>
        </w:rPr>
        <w:t>[18]</w:t>
      </w:r>
      <w:r>
        <w:rPr>
          <w:rFonts w:ascii="Times New Roman" w:hAnsi="Times New Roman"/>
          <w:sz w:val="24"/>
          <w:szCs w:val="24"/>
        </w:rPr>
        <w:fldChar w:fldCharType="end"/>
      </w:r>
      <w:r>
        <w:rPr>
          <w:rFonts w:ascii="Times New Roman" w:hAnsi="Times New Roman"/>
          <w:sz w:val="24"/>
          <w:szCs w:val="24"/>
        </w:rPr>
        <w:t>.</w:t>
      </w:r>
    </w:p>
    <w:bookmarkEnd w:id="19"/>
    <w:p w14:paraId="3AF97662">
      <w:pPr>
        <w:rPr>
          <w:rFonts w:ascii="Times New Roman" w:hAnsi="Times New Roman"/>
          <w:b/>
          <w:bCs/>
          <w:color w:val="EE0000"/>
          <w:sz w:val="24"/>
          <w:szCs w:val="24"/>
        </w:rPr>
      </w:pPr>
      <w:r>
        <w:rPr>
          <w:rFonts w:ascii="Times New Roman" w:hAnsi="Times New Roman"/>
          <w:color w:val="EE0000"/>
          <w:sz w:val="24"/>
          <w:szCs w:val="24"/>
        </w:rPr>
        <w:t>In this study, erlotinib was designated as the primary suspect drug type within FAERS for the detection of ADRs. Serious clinical outcomes were classified as death (DE), disability (DS), hospitalization (HO), or life-threatening (LT). Additional indicators included in the statistical analysis were gender, age, and country.</w:t>
      </w:r>
      <w:r>
        <w:rPr>
          <w:rFonts w:ascii="Times New Roman" w:hAnsi="Times New Roman"/>
          <w:b/>
          <w:bCs/>
          <w:color w:val="EE0000"/>
          <w:sz w:val="24"/>
          <w:szCs w:val="24"/>
        </w:rPr>
        <w:t xml:space="preserve"> </w:t>
      </w:r>
    </w:p>
    <w:p w14:paraId="0F3F583C">
      <w:pPr>
        <w:rPr>
          <w:rFonts w:ascii="Times New Roman Italic" w:hAnsi="Times New Roman Italic" w:cs="Times New Roman Italic"/>
          <w:i/>
          <w:iCs/>
          <w:sz w:val="24"/>
          <w:szCs w:val="24"/>
        </w:rPr>
      </w:pPr>
      <w:r>
        <w:rPr>
          <w:rFonts w:ascii="Times New Roman Italic" w:hAnsi="Times New Roman Italic"/>
          <w:i/>
          <w:iCs/>
          <w:sz w:val="24"/>
          <w:szCs w:val="24"/>
        </w:rPr>
        <w:t>Statistic methods</w:t>
      </w:r>
    </w:p>
    <w:p w14:paraId="0C28A5FB">
      <w:pPr>
        <w:rPr>
          <w:rFonts w:ascii="Times New Roman" w:hAnsi="Times New Roman"/>
          <w:sz w:val="24"/>
          <w:szCs w:val="24"/>
        </w:rPr>
      </w:pPr>
      <w:bookmarkStart w:id="20" w:name="OLE_LINK19"/>
      <w:r>
        <w:rPr>
          <w:rFonts w:ascii="Times New Roman" w:hAnsi="Times New Roman"/>
          <w:color w:val="EE0000"/>
          <w:sz w:val="24"/>
          <w:szCs w:val="24"/>
        </w:rPr>
        <w:t xml:space="preserve">All adverse events (AEs) have been analyzed to identify statistically significant adverse drug reactions (ADRs), which are classified as positive ADRs based on four distinct algorithms. </w:t>
      </w:r>
      <w:r>
        <w:rPr>
          <w:rFonts w:hint="eastAsia" w:ascii="Times New Roman" w:hAnsi="Times New Roman"/>
          <w:sz w:val="24"/>
          <w:szCs w:val="24"/>
        </w:rPr>
        <w:t>The</w:t>
      </w:r>
      <w:r>
        <w:rPr>
          <w:rFonts w:ascii="Times New Roman" w:hAnsi="Times New Roman"/>
          <w:sz w:val="24"/>
          <w:szCs w:val="24"/>
        </w:rPr>
        <w:t xml:space="preserve"> </w:t>
      </w:r>
      <w:r>
        <w:rPr>
          <w:rFonts w:hint="eastAsia" w:ascii="Times New Roman" w:hAnsi="Times New Roman"/>
          <w:sz w:val="24"/>
          <w:szCs w:val="24"/>
        </w:rPr>
        <w:t>four</w:t>
      </w:r>
      <w:r>
        <w:rPr>
          <w:rFonts w:ascii="Times New Roman" w:hAnsi="Times New Roman"/>
          <w:sz w:val="24"/>
          <w:szCs w:val="24"/>
        </w:rPr>
        <w:t xml:space="preserve"> </w:t>
      </w:r>
      <w:r>
        <w:rPr>
          <w:rFonts w:hint="eastAsia" w:ascii="Times New Roman" w:hAnsi="Times New Roman"/>
          <w:sz w:val="24"/>
          <w:szCs w:val="24"/>
        </w:rPr>
        <w:t>algorithms</w:t>
      </w:r>
      <w:r>
        <w:rPr>
          <w:rFonts w:ascii="Times New Roman" w:hAnsi="Times New Roman"/>
          <w:sz w:val="24"/>
          <w:szCs w:val="24"/>
        </w:rPr>
        <w:t xml:space="preserve"> </w:t>
      </w:r>
      <w:r>
        <w:rPr>
          <w:rFonts w:hint="eastAsia" w:ascii="Times New Roman" w:hAnsi="Times New Roman"/>
          <w:sz w:val="24"/>
          <w:szCs w:val="24"/>
        </w:rPr>
        <w:t>include the</w:t>
      </w:r>
      <w:r>
        <w:rPr>
          <w:rFonts w:ascii="Times New Roman" w:hAnsi="Times New Roman"/>
          <w:sz w:val="24"/>
          <w:szCs w:val="24"/>
        </w:rPr>
        <w:t xml:space="preserve"> Reporting odds ratio (ROR)</w:t>
      </w:r>
      <w:r>
        <w:t xml:space="preserve"> </w:t>
      </w:r>
      <w:r>
        <w:rPr>
          <w:rFonts w:ascii="Times New Roman" w:hAnsi="Times New Roman"/>
          <w:sz w:val="24"/>
          <w:szCs w:val="24"/>
        </w:rPr>
        <w:fldChar w:fldCharType="begin"/>
      </w:r>
      <w:r>
        <w:rPr>
          <w:rFonts w:ascii="Times New Roman" w:hAnsi="Times New Roman"/>
          <w:sz w:val="24"/>
          <w:szCs w:val="24"/>
        </w:rPr>
        <w:instrText xml:space="preserve"> ADDIN EN.CITE &lt;EndNote&gt;&lt;Cite&gt;&lt;Author&gt;Rothman&lt;/Author&gt;&lt;Year&gt;2004&lt;/Year&gt;&lt;RecNum&gt;13&lt;/RecNum&gt;&lt;DisplayText&gt;[19]&lt;/DisplayText&gt;&lt;record&gt;&lt;rec-number&gt;13&lt;/rec-number&gt;&lt;foreign-keys&gt;&lt;key app="EN" db-id="5fpdpfvt2tsstme95zuxd5xo2rx0r0fsvprw" timestamp="1674304326"&gt;13&lt;/key&gt;&lt;/foreign-keys&gt;&lt;ref-type name="Journal Article"&gt;17&lt;/ref-type&gt;&lt;contributors&gt;&lt;authors&gt;&lt;author&gt;Rothman, K. J.&lt;/author&gt;&lt;author&gt;Lanes, S.&lt;/author&gt;&lt;author&gt;Sacks, S. T.&lt;/author&gt;&lt;/authors&gt;&lt;/contributors&gt;&lt;auth-address&gt;Department of Epidemiology, Boston University Medical Center, 715 Albany Street, MA 02118, USA. KRothman@bu.edu&lt;/auth-address&gt;&lt;titles&gt;&lt;title&gt;The reporting odds ratio and its advantages over the proportional reporting ratio&lt;/title&gt;&lt;secondary-title&gt;Pharmacoepidemiol Drug Saf&lt;/secondary-title&gt;&lt;/titles&gt;&lt;periodical&gt;&lt;full-title&gt;Pharmacoepidemiol Drug Saf&lt;/full-title&gt;&lt;/periodical&gt;&lt;pages&gt;519-23&lt;/pages&gt;&lt;volume&gt;13&lt;/volume&gt;&lt;number&gt;8&lt;/number&gt;&lt;edition&gt;2004/08/19&lt;/edition&gt;&lt;keywords&gt;&lt;keyword&gt;*Adverse Drug Reaction Reporting Systems&lt;/keyword&gt;&lt;keyword&gt;*Drug-Related Side Effects and Adverse Reactions&lt;/keyword&gt;&lt;keyword&gt;Humans&lt;/keyword&gt;&lt;keyword&gt;Mortality&lt;/keyword&gt;&lt;keyword&gt;*Odds Ratio&lt;/keyword&gt;&lt;keyword&gt;*Pharmacoepidemiology&lt;/keyword&gt;&lt;keyword&gt;Registries&lt;/keyword&gt;&lt;/keywords&gt;&lt;dates&gt;&lt;year&gt;2004&lt;/year&gt;&lt;pub-dates&gt;&lt;date&gt;Aug&lt;/date&gt;&lt;/pub-dates&gt;&lt;/dates&gt;&lt;isbn&gt;1053-8569 (Print)&amp;#xD;1053-8569 (Linking)&lt;/isbn&gt;&lt;accession-num&gt;15317031&lt;/accession-num&gt;&lt;urls&gt;&lt;related-urls&gt;&lt;url&gt;https://www.ncbi.nlm.nih.gov/pubmed/15317031&lt;/url&gt;&lt;/related-urls&gt;&lt;/urls&gt;&lt;electronic-resource-num&gt;10.1002/pds.1001&lt;/electronic-resource-num&gt;&lt;/record&gt;&lt;/Cite&gt;&lt;/EndNote&gt;</w:instrText>
      </w:r>
      <w:r>
        <w:rPr>
          <w:rFonts w:ascii="Times New Roman" w:hAnsi="Times New Roman"/>
          <w:sz w:val="24"/>
          <w:szCs w:val="24"/>
        </w:rPr>
        <w:fldChar w:fldCharType="separate"/>
      </w:r>
      <w:r>
        <w:rPr>
          <w:rFonts w:ascii="Times New Roman" w:hAnsi="Times New Roman"/>
          <w:sz w:val="24"/>
          <w:szCs w:val="24"/>
        </w:rPr>
        <w:t>[19]</w:t>
      </w:r>
      <w:r>
        <w:rPr>
          <w:rFonts w:ascii="Times New Roman" w:hAnsi="Times New Roman"/>
          <w:sz w:val="24"/>
          <w:szCs w:val="24"/>
        </w:rPr>
        <w:fldChar w:fldCharType="end"/>
      </w:r>
      <w:r>
        <w:rPr>
          <w:rFonts w:ascii="Times New Roman" w:hAnsi="Times New Roman"/>
          <w:sz w:val="24"/>
          <w:szCs w:val="24"/>
        </w:rPr>
        <w:t>, proportional reporting ratio (PRR)</w:t>
      </w:r>
      <w:r>
        <w:t xml:space="preserve"> </w:t>
      </w:r>
      <w:r>
        <w:rPr>
          <w:rFonts w:ascii="Times New Roman" w:hAnsi="Times New Roman"/>
          <w:sz w:val="24"/>
          <w:szCs w:val="24"/>
        </w:rPr>
        <w:fldChar w:fldCharType="begin"/>
      </w:r>
      <w:r>
        <w:rPr>
          <w:rFonts w:ascii="Times New Roman" w:hAnsi="Times New Roman"/>
          <w:sz w:val="24"/>
          <w:szCs w:val="24"/>
        </w:rPr>
        <w:instrText xml:space="preserve"> ADDIN EN.CITE &lt;EndNote&gt;&lt;Cite&gt;&lt;Author&gt;Evans&lt;/Author&gt;&lt;Year&gt;2001&lt;/Year&gt;&lt;RecNum&gt;14&lt;/RecNum&gt;&lt;DisplayText&gt;[20]&lt;/DisplayText&gt;&lt;record&gt;&lt;rec-number&gt;14&lt;/rec-number&gt;&lt;foreign-keys&gt;&lt;key app="EN" db-id="5fpdpfvt2tsstme95zuxd5xo2rx0r0fsvprw" timestamp="1674304367"&gt;14&lt;/key&gt;&lt;/foreign-keys&gt;&lt;ref-type name="Journal Article"&gt;17&lt;/ref-type&gt;&lt;contributors&gt;&lt;authors&gt;&lt;author&gt;Evans, S. J.&lt;/author&gt;&lt;author&gt;Waller, P. C.&lt;/author&gt;&lt;author&gt;Davis, S.&lt;/author&gt;&lt;/authors&gt;&lt;/contributors&gt;&lt;auth-address&gt;Post-Licensing Division, Medicines Control Agency, Market Towers, 1, Nine Elms Lane, London SW8 5NQ.&lt;/auth-address&gt;&lt;titles&gt;&lt;title&gt;Use of proportional reporting ratios (PRRs) for signal generation from spontaneous adverse drug reaction reports&lt;/title&gt;&lt;secondary-title&gt;Pharmacoepidemiol Drug Saf&lt;/secondary-title&gt;&lt;/titles&gt;&lt;periodical&gt;&lt;full-title&gt;Pharmacoepidemiol Drug Saf&lt;/full-title&gt;&lt;/periodical&gt;&lt;pages&gt;483-6&lt;/pages&gt;&lt;volume&gt;10&lt;/volume&gt;&lt;number&gt;6&lt;/number&gt;&lt;edition&gt;2002/02/07&lt;/edition&gt;&lt;keywords&gt;&lt;keyword&gt;Adverse Drug Reaction Reporting Systems/*statistics &amp;amp; numerical data&lt;/keyword&gt;&lt;keyword&gt;Data Interpretation, Statistical&lt;/keyword&gt;&lt;keyword&gt;Databases, Factual&lt;/keyword&gt;&lt;keyword&gt;Software&lt;/keyword&gt;&lt;/keywords&gt;&lt;dates&gt;&lt;year&gt;2001&lt;/year&gt;&lt;pub-dates&gt;&lt;date&gt;Oct-Nov&lt;/date&gt;&lt;/pub-dates&gt;&lt;/dates&gt;&lt;isbn&gt;1053-8569 (Print)&amp;#xD;1053-8569 (Linking)&lt;/isbn&gt;&lt;accession-num&gt;11828828&lt;/accession-num&gt;&lt;urls&gt;&lt;related-urls&gt;&lt;url&gt;https://www.ncbi.nlm.nih.gov/pubmed/11828828&lt;/url&gt;&lt;/related-urls&gt;&lt;/urls&gt;&lt;electronic-resource-num&gt;10.1002/pds.677&lt;/electronic-resource-num&gt;&lt;/record&gt;&lt;/Cite&gt;&lt;/EndNote&gt;</w:instrText>
      </w:r>
      <w:r>
        <w:rPr>
          <w:rFonts w:ascii="Times New Roman" w:hAnsi="Times New Roman"/>
          <w:sz w:val="24"/>
          <w:szCs w:val="24"/>
        </w:rPr>
        <w:fldChar w:fldCharType="separate"/>
      </w:r>
      <w:r>
        <w:rPr>
          <w:rFonts w:ascii="Times New Roman" w:hAnsi="Times New Roman"/>
          <w:sz w:val="24"/>
          <w:szCs w:val="24"/>
        </w:rPr>
        <w:t>[20]</w:t>
      </w:r>
      <w:r>
        <w:rPr>
          <w:rFonts w:ascii="Times New Roman" w:hAnsi="Times New Roman"/>
          <w:sz w:val="24"/>
          <w:szCs w:val="24"/>
        </w:rPr>
        <w:fldChar w:fldCharType="end"/>
      </w:r>
      <w:r>
        <w:rPr>
          <w:rFonts w:ascii="Times New Roman" w:hAnsi="Times New Roman"/>
          <w:sz w:val="24"/>
          <w:szCs w:val="24"/>
        </w:rPr>
        <w:t>, Bayesian confidence propagation neural network (BCPNN)</w:t>
      </w:r>
      <w:r>
        <w:t xml:space="preserve"> </w:t>
      </w:r>
      <w:r>
        <w:rPr>
          <w:rFonts w:ascii="Times New Roman" w:hAnsi="Times New Roman"/>
          <w:sz w:val="24"/>
          <w:szCs w:val="24"/>
        </w:rPr>
        <w:fldChar w:fldCharType="begin"/>
      </w:r>
      <w:r>
        <w:rPr>
          <w:rFonts w:ascii="Times New Roman" w:hAnsi="Times New Roman"/>
          <w:sz w:val="24"/>
          <w:szCs w:val="24"/>
        </w:rPr>
        <w:instrText xml:space="preserve"> ADDIN EN.CITE &lt;EndNote&gt;&lt;Cite&gt;&lt;Author&gt;Bate&lt;/Author&gt;&lt;Year&gt;1998&lt;/Year&gt;&lt;RecNum&gt;15&lt;/RecNum&gt;&lt;DisplayText&gt;[21]&lt;/DisplayText&gt;&lt;record&gt;&lt;rec-number&gt;15&lt;/rec-number&gt;&lt;foreign-keys&gt;&lt;key app="EN" db-id="5fpdpfvt2tsstme95zuxd5xo2rx0r0fsvprw" timestamp="1674304417"&gt;15&lt;/key&gt;&lt;/foreign-keys&gt;&lt;ref-type name="Journal Article"&gt;17&lt;/ref-type&gt;&lt;contributors&gt;&lt;authors&gt;&lt;author&gt;Bate, A.&lt;/author&gt;&lt;author&gt;Lindquist, M.&lt;/author&gt;&lt;author&gt;Edwards, I. R.&lt;/author&gt;&lt;author&gt;Olsson, S.&lt;/author&gt;&lt;author&gt;Orre, R.&lt;/author&gt;&lt;author&gt;Lansner, A.&lt;/author&gt;&lt;author&gt;De Freitas, R. M.&lt;/author&gt;&lt;/authors&gt;&lt;/contributors&gt;&lt;auth-address&gt;Uppsala Monitoring Centre, WHO Collaborating Centre for International Drug Monitoring, Sweden.&lt;/auth-address&gt;&lt;titles&gt;&lt;title&gt;A Bayesian neural network method for adverse drug reaction signal generation&lt;/title&gt;&lt;secondary-title&gt;Eur J Clin Pharmacol&lt;/secondary-title&gt;&lt;/titles&gt;&lt;periodical&gt;&lt;full-title&gt;Eur J Clin Pharmacol&lt;/full-title&gt;&lt;/periodical&gt;&lt;pages&gt;315-21&lt;/pages&gt;&lt;volume&gt;54&lt;/volume&gt;&lt;number&gt;4&lt;/number&gt;&lt;edition&gt;1998/08/11&lt;/edition&gt;&lt;keywords&gt;&lt;keyword&gt;*Adverse Drug Reaction Reporting Systems&lt;/keyword&gt;&lt;keyword&gt;*Bayes Theorem&lt;/keyword&gt;&lt;keyword&gt;Humans&lt;/keyword&gt;&lt;keyword&gt;*Neural Networks, Computer&lt;/keyword&gt;&lt;keyword&gt;World Health Organization&lt;/keyword&gt;&lt;/keywords&gt;&lt;dates&gt;&lt;year&gt;1998&lt;/year&gt;&lt;pub-dates&gt;&lt;date&gt;Jun&lt;/date&gt;&lt;/pub-dates&gt;&lt;/dates&gt;&lt;isbn&gt;0031-6970 (Print)&amp;#xD;0031-6970 (Linking)&lt;/isbn&gt;&lt;accession-num&gt;9696956&lt;/accession-num&gt;&lt;urls&gt;&lt;related-urls&gt;&lt;url&gt;https://www.ncbi.nlm.nih.gov/pubmed/9696956&lt;/url&gt;&lt;/related-urls&gt;&lt;/urls&gt;&lt;electronic-resource-num&gt;10.1007/s002280050466&lt;/electronic-resource-num&gt;&lt;/record&gt;&lt;/Cite&gt;&lt;/EndNote&gt;</w:instrText>
      </w:r>
      <w:r>
        <w:rPr>
          <w:rFonts w:ascii="Times New Roman" w:hAnsi="Times New Roman"/>
          <w:sz w:val="24"/>
          <w:szCs w:val="24"/>
        </w:rPr>
        <w:fldChar w:fldCharType="separate"/>
      </w:r>
      <w:r>
        <w:rPr>
          <w:rFonts w:ascii="Times New Roman" w:hAnsi="Times New Roman"/>
          <w:sz w:val="24"/>
          <w:szCs w:val="24"/>
        </w:rPr>
        <w:t>[21]</w:t>
      </w:r>
      <w:r>
        <w:rPr>
          <w:rFonts w:ascii="Times New Roman" w:hAnsi="Times New Roman"/>
          <w:sz w:val="24"/>
          <w:szCs w:val="24"/>
        </w:rPr>
        <w:fldChar w:fldCharType="end"/>
      </w:r>
      <w:r>
        <w:rPr>
          <w:rFonts w:ascii="Times New Roman" w:hAnsi="Times New Roman"/>
          <w:sz w:val="24"/>
          <w:szCs w:val="24"/>
        </w:rPr>
        <w:t xml:space="preserve">, and </w:t>
      </w:r>
      <w:bookmarkStart w:id="21" w:name="OLE_LINK49"/>
      <w:bookmarkStart w:id="22" w:name="OLE_LINK48"/>
      <w:r>
        <w:rPr>
          <w:rFonts w:hint="eastAsia" w:ascii="Times New Roman" w:hAnsi="Times New Roman"/>
          <w:sz w:val="24"/>
          <w:szCs w:val="24"/>
        </w:rPr>
        <w:t xml:space="preserve">the </w:t>
      </w:r>
      <w:r>
        <w:rPr>
          <w:rFonts w:ascii="Times New Roman" w:hAnsi="Times New Roman"/>
          <w:sz w:val="24"/>
          <w:szCs w:val="24"/>
        </w:rPr>
        <w:t>empirical Bayes geometric mean (EBGM)</w:t>
      </w:r>
      <w:r>
        <w:rPr>
          <w:rFonts w:hint="eastAsia" w:ascii="Times New Roman" w:hAnsi="Times New Roman"/>
          <w:sz w:val="24"/>
          <w:szCs w:val="24"/>
        </w:rPr>
        <w:t>,</w:t>
      </w:r>
      <w:r>
        <w:rPr>
          <w:rFonts w:hint="eastAsia" w:ascii="Times New Roman" w:hAnsi="Times New Roman"/>
          <w:color w:val="EE0000"/>
          <w:sz w:val="24"/>
          <w:szCs w:val="24"/>
        </w:rPr>
        <w:t>which is</w:t>
      </w:r>
      <w:r>
        <w:rPr>
          <w:rFonts w:ascii="Times New Roman" w:hAnsi="Times New Roman"/>
          <w:color w:val="EE0000"/>
          <w:sz w:val="24"/>
          <w:szCs w:val="24"/>
        </w:rPr>
        <w:t xml:space="preserve"> </w:t>
      </w:r>
      <w:bookmarkEnd w:id="21"/>
      <w:bookmarkEnd w:id="22"/>
      <w:r>
        <w:rPr>
          <w:rFonts w:ascii="Times New Roman" w:hAnsi="Times New Roman"/>
          <w:sz w:val="24"/>
          <w:szCs w:val="24"/>
        </w:rPr>
        <w:t>derived from the Gamma-Poisson Shrinker (GPS) model</w:t>
      </w:r>
      <w:r>
        <w:rPr>
          <w:rFonts w:ascii="Times New Roman" w:hAnsi="Times New Roman"/>
          <w:sz w:val="24"/>
          <w:szCs w:val="24"/>
        </w:rPr>
        <w:fldChar w:fldCharType="begin"/>
      </w:r>
      <w:r>
        <w:rPr>
          <w:rFonts w:ascii="Times New Roman" w:hAnsi="Times New Roman"/>
          <w:sz w:val="24"/>
          <w:szCs w:val="24"/>
        </w:rPr>
        <w:instrText xml:space="preserve"> ADDIN EN.CITE &lt;EndNote&gt;&lt;Cite&gt;&lt;Author&gt;William&lt;/Author&gt;&lt;Year&gt;1999&lt;/Year&gt;&lt;RecNum&gt;16&lt;/RecNum&gt;&lt;DisplayText&gt;[22]&lt;/DisplayText&gt;&lt;record&gt;&lt;rec-number&gt;16&lt;/rec-number&gt;&lt;foreign-keys&gt;&lt;key app="EN" db-id="5fpdpfvt2tsstme95zuxd5xo2rx0r0fsvprw" timestamp="1674304540"&gt;16&lt;/key&gt;&lt;/foreign-keys&gt;&lt;ref-type name="Journal Article"&gt;17&lt;/ref-type&gt;&lt;contributors&gt;&lt;authors&gt;&lt;author&gt;William&lt;/author&gt;&lt;author&gt;Dumouchel&lt;/author&gt;&lt;/authors&gt;&lt;/contributors&gt;&lt;titles&gt;&lt;title&gt;Bayesian Data Mining in Large Frequency Tables, with an Application to the FDA Spontaneous Reporting System&lt;/title&gt;&lt;secondary-title&gt;American Statistician&lt;/secondary-title&gt;&lt;/titles&gt;&lt;periodical&gt;&lt;full-title&gt;American Statistician&lt;/full-title&gt;&lt;/periodical&gt;&lt;dates&gt;&lt;year&gt;1999&lt;/year&gt;&lt;/dates&gt;&lt;urls&gt;&lt;/urls&gt;&lt;/record&gt;&lt;/Cite&gt;&lt;/EndNote&gt;</w:instrText>
      </w:r>
      <w:r>
        <w:rPr>
          <w:rFonts w:ascii="Times New Roman" w:hAnsi="Times New Roman"/>
          <w:sz w:val="24"/>
          <w:szCs w:val="24"/>
        </w:rPr>
        <w:fldChar w:fldCharType="separate"/>
      </w:r>
      <w:r>
        <w:rPr>
          <w:rFonts w:ascii="Times New Roman" w:hAnsi="Times New Roman"/>
          <w:sz w:val="24"/>
          <w:szCs w:val="24"/>
        </w:rPr>
        <w:t>[22]</w:t>
      </w:r>
      <w:r>
        <w:rPr>
          <w:rFonts w:ascii="Times New Roman" w:hAnsi="Times New Roman"/>
          <w:sz w:val="24"/>
          <w:szCs w:val="24"/>
        </w:rPr>
        <w:fldChar w:fldCharType="end"/>
      </w:r>
      <w:r>
        <w:rPr>
          <w:rFonts w:hint="eastAsia" w:ascii="Times New Roman" w:hAnsi="Times New Roman"/>
          <w:sz w:val="24"/>
          <w:szCs w:val="24"/>
        </w:rPr>
        <w:t>. T</w:t>
      </w:r>
      <w:r>
        <w:rPr>
          <w:rFonts w:hint="eastAsia" w:ascii="Times New Roman" w:hAnsi="Times New Roman"/>
          <w:color w:val="EE0000"/>
          <w:sz w:val="24"/>
          <w:szCs w:val="24"/>
        </w:rPr>
        <w:t xml:space="preserve">hese methodologies </w:t>
      </w:r>
      <w:r>
        <w:rPr>
          <w:rFonts w:ascii="Times New Roman" w:hAnsi="Times New Roman"/>
          <w:color w:val="EE0000"/>
          <w:sz w:val="24"/>
          <w:szCs w:val="24"/>
        </w:rPr>
        <w:t>are employed</w:t>
      </w:r>
      <w:r>
        <w:rPr>
          <w:rFonts w:hint="eastAsia" w:ascii="Times New Roman" w:hAnsi="Times New Roman"/>
          <w:color w:val="EE0000"/>
          <w:sz w:val="24"/>
          <w:szCs w:val="24"/>
        </w:rPr>
        <w:t xml:space="preserve"> </w:t>
      </w:r>
      <w:r>
        <w:rPr>
          <w:rFonts w:hint="eastAsia" w:ascii="Times New Roman" w:hAnsi="Times New Roman"/>
          <w:sz w:val="24"/>
          <w:szCs w:val="24"/>
        </w:rPr>
        <w:t>in d</w:t>
      </w:r>
      <w:r>
        <w:rPr>
          <w:rFonts w:ascii="Times New Roman" w:hAnsi="Times New Roman"/>
          <w:sz w:val="24"/>
          <w:szCs w:val="24"/>
        </w:rPr>
        <w:t>rug vigilance analysis.</w:t>
      </w:r>
    </w:p>
    <w:p w14:paraId="0E7439CC">
      <w:pPr>
        <w:rPr>
          <w:rFonts w:ascii="Times New Roman" w:hAnsi="Times New Roman"/>
          <w:sz w:val="24"/>
          <w:szCs w:val="24"/>
        </w:rPr>
      </w:pPr>
      <w:r>
        <w:rPr>
          <w:rFonts w:hint="eastAsia" w:ascii="Times New Roman" w:hAnsi="Times New Roman"/>
          <w:sz w:val="24"/>
          <w:szCs w:val="24"/>
        </w:rPr>
        <w:t>The</w:t>
      </w:r>
      <w:r>
        <w:rPr>
          <w:rFonts w:ascii="Times New Roman" w:hAnsi="Times New Roman"/>
          <w:sz w:val="24"/>
          <w:szCs w:val="24"/>
        </w:rPr>
        <w:t xml:space="preserve"> </w:t>
      </w:r>
      <w:r>
        <w:rPr>
          <w:rFonts w:hint="eastAsia" w:ascii="Times New Roman" w:hAnsi="Times New Roman"/>
          <w:sz w:val="24"/>
          <w:szCs w:val="24"/>
        </w:rPr>
        <w:t>specific</w:t>
      </w:r>
      <w:r>
        <w:rPr>
          <w:rFonts w:ascii="Times New Roman" w:hAnsi="Times New Roman"/>
          <w:sz w:val="24"/>
          <w:szCs w:val="24"/>
        </w:rPr>
        <w:t xml:space="preserve"> </w:t>
      </w:r>
      <w:r>
        <w:rPr>
          <w:rFonts w:hint="eastAsia" w:ascii="Times New Roman" w:hAnsi="Times New Roman"/>
          <w:sz w:val="24"/>
          <w:szCs w:val="24"/>
        </w:rPr>
        <w:t>formulas</w:t>
      </w:r>
      <w:r>
        <w:rPr>
          <w:rFonts w:ascii="Times New Roman" w:hAnsi="Times New Roman"/>
          <w:sz w:val="24"/>
          <w:szCs w:val="24"/>
        </w:rPr>
        <w:t xml:space="preserve"> </w:t>
      </w:r>
      <w:r>
        <w:rPr>
          <w:rFonts w:hint="eastAsia" w:ascii="Times New Roman" w:hAnsi="Times New Roman"/>
          <w:sz w:val="24"/>
          <w:szCs w:val="24"/>
        </w:rPr>
        <w:t>of</w:t>
      </w:r>
      <w:r>
        <w:rPr>
          <w:rFonts w:ascii="Times New Roman" w:hAnsi="Times New Roman"/>
          <w:sz w:val="24"/>
          <w:szCs w:val="24"/>
        </w:rPr>
        <w:t xml:space="preserve"> </w:t>
      </w:r>
      <w:r>
        <w:rPr>
          <w:rFonts w:hint="eastAsia" w:ascii="Times New Roman" w:hAnsi="Times New Roman"/>
          <w:sz w:val="24"/>
          <w:szCs w:val="24"/>
        </w:rPr>
        <w:t>the</w:t>
      </w:r>
      <w:r>
        <w:rPr>
          <w:rFonts w:ascii="Times New Roman" w:hAnsi="Times New Roman"/>
          <w:sz w:val="24"/>
          <w:szCs w:val="24"/>
        </w:rPr>
        <w:t xml:space="preserve"> </w:t>
      </w:r>
      <w:r>
        <w:rPr>
          <w:rFonts w:hint="eastAsia" w:ascii="Times New Roman" w:hAnsi="Times New Roman"/>
          <w:sz w:val="24"/>
          <w:szCs w:val="24"/>
        </w:rPr>
        <w:t>ROR</w:t>
      </w:r>
      <w:r>
        <w:rPr>
          <w:rFonts w:ascii="Times New Roman" w:hAnsi="Times New Roman"/>
          <w:sz w:val="24"/>
          <w:szCs w:val="24"/>
        </w:rPr>
        <w:t xml:space="preserve">, PRR, BCPNN, and EBGM </w:t>
      </w:r>
      <w:r>
        <w:rPr>
          <w:rFonts w:hint="eastAsia" w:ascii="Times New Roman" w:hAnsi="Times New Roman"/>
          <w:sz w:val="24"/>
          <w:szCs w:val="24"/>
        </w:rPr>
        <w:t>algorithms</w:t>
      </w:r>
      <w:r>
        <w:rPr>
          <w:rFonts w:ascii="Times New Roman" w:hAnsi="Times New Roman"/>
          <w:sz w:val="24"/>
          <w:szCs w:val="24"/>
        </w:rPr>
        <w:t xml:space="preserve"> </w:t>
      </w:r>
      <w:r>
        <w:rPr>
          <w:rFonts w:hint="eastAsia" w:ascii="Times New Roman" w:hAnsi="Times New Roman"/>
          <w:sz w:val="24"/>
          <w:szCs w:val="24"/>
        </w:rPr>
        <w:t>are</w:t>
      </w:r>
      <w:r>
        <w:rPr>
          <w:rFonts w:ascii="Times New Roman" w:hAnsi="Times New Roman"/>
          <w:sz w:val="24"/>
          <w:szCs w:val="24"/>
        </w:rPr>
        <w:t xml:space="preserve"> </w:t>
      </w:r>
      <w:r>
        <w:rPr>
          <w:rFonts w:hint="eastAsia" w:ascii="Times New Roman" w:hAnsi="Times New Roman"/>
          <w:sz w:val="24"/>
          <w:szCs w:val="24"/>
        </w:rPr>
        <w:t>as</w:t>
      </w:r>
      <w:r>
        <w:rPr>
          <w:rFonts w:ascii="Times New Roman" w:hAnsi="Times New Roman"/>
          <w:sz w:val="24"/>
          <w:szCs w:val="24"/>
        </w:rPr>
        <w:t xml:space="preserve"> </w:t>
      </w:r>
      <w:r>
        <w:rPr>
          <w:rFonts w:hint="eastAsia" w:ascii="Times New Roman" w:hAnsi="Times New Roman"/>
          <w:sz w:val="24"/>
          <w:szCs w:val="24"/>
        </w:rPr>
        <w:t>follows</w:t>
      </w:r>
      <w:r>
        <w:rPr>
          <w:rFonts w:ascii="Times New Roman" w:hAnsi="Times New Roman"/>
          <w:sz w:val="24"/>
          <w:szCs w:val="24"/>
        </w:rPr>
        <w:t xml:space="preserve"> (</w:t>
      </w:r>
      <w:r>
        <w:rPr>
          <w:rFonts w:hint="eastAsia" w:ascii="Times New Roman" w:hAnsi="Times New Roman"/>
          <w:sz w:val="24"/>
          <w:szCs w:val="24"/>
        </w:rPr>
        <w:t>P</w:t>
      </w:r>
      <w:r>
        <w:rPr>
          <w:rFonts w:ascii="Times New Roman" w:hAnsi="Times New Roman"/>
          <w:sz w:val="24"/>
          <w:szCs w:val="24"/>
        </w:rPr>
        <w:t>lease refer to Table 1 for relevant information prior to reviewing the formulas):</w:t>
      </w:r>
    </w:p>
    <w:bookmarkEnd w:id="17"/>
    <w:bookmarkEnd w:id="18"/>
    <w:bookmarkEnd w:id="20"/>
    <w:p w14:paraId="1BD9EFA6">
      <w:pPr>
        <w:widowControl/>
        <w:rPr>
          <w:rFonts w:ascii="Times New Roman" w:hAnsi="Times New Roman"/>
          <w:b/>
          <w:bCs/>
        </w:rPr>
      </w:pPr>
      <w:r>
        <w:rPr>
          <w:rFonts w:ascii="Times New Roman" w:hAnsi="Times New Roman"/>
          <w:b/>
          <w:bCs/>
        </w:rPr>
        <w:t>(I) ROR method</w:t>
      </w:r>
    </w:p>
    <w:p w14:paraId="12CB710C">
      <w:pPr>
        <w:widowControl/>
        <w:jc w:val="center"/>
        <w:rPr>
          <w:rFonts w:hAnsi="Cambria Math"/>
        </w:rPr>
      </w:pPr>
      <m:oMathPara>
        <m:oMath>
          <m:r>
            <m:rPr/>
            <w:rPr>
              <w:rFonts w:ascii="Cambria Math" w:hAnsi="Cambria Math"/>
            </w:rPr>
            <m:t>R</m:t>
          </m:r>
          <m:r>
            <m:rPr/>
            <w:rPr>
              <w:rFonts w:hint="eastAsia" w:ascii="Cambria Math" w:hAnsi="Cambria Math"/>
            </w:rPr>
            <m:t>OR</m:t>
          </m:r>
          <m:r>
            <m:rPr>
              <m:sty m:val="p"/>
            </m:rPr>
            <w:rPr>
              <w:rFonts w:ascii="Cambria Math" w:hAnsi="Cambria Math" w:cs="Cambria Math"/>
            </w:rPr>
            <m:t>=</m:t>
          </m:r>
          <m:f>
            <m:fPr>
              <m:ctrlPr>
                <w:rPr>
                  <w:rFonts w:ascii="Cambria Math" w:hAnsi="Cambria Math"/>
                </w:rPr>
              </m:ctrlPr>
            </m:fPr>
            <m:num>
              <m:r>
                <m:rPr>
                  <m:sty m:val="p"/>
                </m:rPr>
                <w:rPr>
                  <w:rFonts w:ascii="Cambria Math" w:hAnsi="Cambria Math" w:cs="Cambria Math"/>
                </w:rPr>
                <m:t>ad</m:t>
              </m:r>
              <m:ctrlPr>
                <w:rPr>
                  <w:rFonts w:ascii="Cambria Math" w:hAnsi="Cambria Math"/>
                </w:rPr>
              </m:ctrlPr>
            </m:num>
            <m:den>
              <m:r>
                <m:rPr>
                  <m:sty m:val="p"/>
                </m:rPr>
                <w:rPr>
                  <w:rFonts w:ascii="Cambria Math" w:hAnsi="Cambria Math" w:cs="Cambria Math"/>
                </w:rPr>
                <m:t>bc</m:t>
              </m:r>
              <m:ctrlPr>
                <w:rPr>
                  <w:rFonts w:ascii="Cambria Math" w:hAnsi="Cambria Math"/>
                </w:rPr>
              </m:ctrlPr>
            </m:den>
          </m:f>
        </m:oMath>
      </m:oMathPara>
    </w:p>
    <w:p w14:paraId="21BCA69D">
      <w:pPr>
        <w:widowControl/>
        <w:jc w:val="left"/>
        <w:rPr>
          <w:rFonts w:hAnsi="Cambria Math"/>
        </w:rPr>
      </w:pPr>
      <m:oMathPara>
        <m:oMath>
          <m:r>
            <m:rPr/>
            <w:rPr>
              <w:rFonts w:ascii="Cambria Math" w:hAnsi="Cambria Math" w:cs="Cambria Math"/>
            </w:rPr>
            <m:t>95% CI</m:t>
          </m:r>
          <m:r>
            <m:rPr>
              <m:sty m:val="p"/>
            </m:rPr>
            <w:rPr>
              <w:rFonts w:ascii="Cambria Math" w:hAnsi="Cambria Math" w:cs="Cambria Math"/>
            </w:rPr>
            <m:t>=</m:t>
          </m:r>
          <m:sSup>
            <m:sSupPr>
              <m:ctrlPr>
                <w:rPr>
                  <w:rFonts w:ascii="Cambria Math" w:hAnsi="Cambria Math" w:cs="Cambria Math"/>
                </w:rPr>
              </m:ctrlPr>
            </m:sSupPr>
            <m:e>
              <m:r>
                <m:rPr/>
                <w:rPr>
                  <w:rFonts w:ascii="Cambria Math" w:hAnsi="Cambria Math" w:cs="Cambria Math"/>
                </w:rPr>
                <m:t>e</m:t>
              </m:r>
              <m:ctrlPr>
                <w:rPr>
                  <w:rFonts w:ascii="Cambria Math" w:hAnsi="Cambria Math" w:cs="Cambria Math"/>
                </w:rPr>
              </m:ctrlPr>
            </m:e>
            <m:sup>
              <m:func>
                <m:funcPr>
                  <m:ctrlPr>
                    <w:rPr>
                      <w:rFonts w:ascii="Cambria Math" w:hAnsi="Cambria Math" w:cs="Cambria Math"/>
                    </w:rPr>
                  </m:ctrlPr>
                </m:funcPr>
                <m:fName>
                  <m:r>
                    <m:rPr>
                      <m:sty m:val="p"/>
                    </m:rPr>
                    <w:rPr>
                      <w:rFonts w:ascii="Cambria Math" w:hAnsi="Cambria Math" w:cs="Cambria Math"/>
                    </w:rPr>
                    <m:t>ln</m:t>
                  </m:r>
                  <m:ctrlPr>
                    <w:rPr>
                      <w:rFonts w:ascii="Cambria Math" w:hAnsi="Cambria Math" w:cs="Cambria Math"/>
                    </w:rPr>
                  </m:ctrlPr>
                </m:fName>
                <m:e>
                  <m:d>
                    <m:dPr>
                      <m:ctrlPr>
                        <w:rPr>
                          <w:rFonts w:ascii="Cambria Math" w:hAnsi="Cambria Math" w:cs="Cambria Math"/>
                          <w:i/>
                        </w:rPr>
                      </m:ctrlPr>
                    </m:dPr>
                    <m:e>
                      <m:r>
                        <m:rPr/>
                        <w:rPr>
                          <w:rFonts w:ascii="Cambria Math" w:hAnsi="Cambria Math" w:cs="Cambria Math"/>
                        </w:rPr>
                        <m:t>ROR</m:t>
                      </m:r>
                      <m:ctrlPr>
                        <w:rPr>
                          <w:rFonts w:ascii="Cambria Math" w:hAnsi="Cambria Math" w:cs="Cambria Math"/>
                          <w:i/>
                        </w:rPr>
                      </m:ctrlPr>
                    </m:e>
                  </m:d>
                  <m:ctrlPr>
                    <w:rPr>
                      <w:rFonts w:ascii="Cambria Math" w:hAnsi="Cambria Math" w:cs="Cambria Math"/>
                    </w:rPr>
                  </m:ctrlPr>
                </m:e>
              </m:func>
              <m:r>
                <m:rPr/>
                <w:rPr>
                  <w:rFonts w:ascii="Cambria Math" w:hAnsi="Cambria Math" w:cs="Cambria Math"/>
                </w:rPr>
                <m:t>±</m:t>
              </m:r>
              <m:ctrlPr>
                <w:rPr>
                  <w:rFonts w:ascii="Cambria Math" w:hAnsi="Cambria Math" w:cs="Cambria Math"/>
                </w:rPr>
              </m:ctrlPr>
            </m:sup>
          </m:sSup>
          <m:r>
            <m:rPr/>
            <w:rPr>
              <w:rFonts w:ascii="Cambria Math" w:hAnsi="Cambria Math" w:cs="Cambria Math"/>
            </w:rPr>
            <m:t>1.96</m:t>
          </m:r>
          <m:rad>
            <m:radPr>
              <m:degHide m:val="1"/>
              <m:ctrlPr>
                <w:rPr>
                  <w:rFonts w:ascii="Cambria Math" w:hAnsi="Cambria Math" w:cs="Cambria Math"/>
                  <w:i/>
                </w:rPr>
              </m:ctrlPr>
            </m:radPr>
            <m:deg>
              <m:ctrlPr>
                <w:rPr>
                  <w:rFonts w:ascii="Cambria Math" w:hAnsi="Cambria Math" w:cs="Cambria Math"/>
                  <w:i/>
                </w:rPr>
              </m:ctrlPr>
            </m:deg>
            <m:e>
              <m:f>
                <m:fPr>
                  <m:ctrlPr>
                    <w:rPr>
                      <w:rFonts w:ascii="Cambria Math" w:hAnsi="Cambria Math" w:cs="Cambria Math"/>
                      <w:i/>
                    </w:rPr>
                  </m:ctrlPr>
                </m:fPr>
                <m:num>
                  <m:r>
                    <m:rPr/>
                    <w:rPr>
                      <w:rFonts w:ascii="Cambria Math" w:hAnsi="Cambria Math" w:cs="Cambria Math"/>
                    </w:rPr>
                    <m:t>1</m:t>
                  </m:r>
                  <m:ctrlPr>
                    <w:rPr>
                      <w:rFonts w:ascii="Cambria Math" w:hAnsi="Cambria Math" w:cs="Cambria Math"/>
                      <w:i/>
                    </w:rPr>
                  </m:ctrlPr>
                </m:num>
                <m:den>
                  <m:r>
                    <m:rPr/>
                    <w:rPr>
                      <w:rFonts w:ascii="Cambria Math" w:hAnsi="Cambria Math" w:cs="Cambria Math"/>
                    </w:rPr>
                    <m:t>a</m:t>
                  </m:r>
                  <m:ctrlPr>
                    <w:rPr>
                      <w:rFonts w:ascii="Cambria Math" w:hAnsi="Cambria Math" w:cs="Cambria Math"/>
                      <w:i/>
                    </w:rPr>
                  </m:ctrlPr>
                </m:den>
              </m:f>
              <m:r>
                <m:rPr/>
                <w:rPr>
                  <w:rFonts w:ascii="Cambria Math" w:hAnsi="Cambria Math" w:cs="Cambria Math"/>
                </w:rPr>
                <m:t>+</m:t>
              </m:r>
              <m:f>
                <m:fPr>
                  <m:ctrlPr>
                    <w:rPr>
                      <w:rFonts w:ascii="Cambria Math" w:hAnsi="Cambria Math" w:cs="Cambria Math"/>
                      <w:i/>
                    </w:rPr>
                  </m:ctrlPr>
                </m:fPr>
                <m:num>
                  <m:r>
                    <m:rPr/>
                    <w:rPr>
                      <w:rFonts w:ascii="Cambria Math" w:hAnsi="Cambria Math" w:cs="Cambria Math"/>
                    </w:rPr>
                    <m:t>1</m:t>
                  </m:r>
                  <m:ctrlPr>
                    <w:rPr>
                      <w:rFonts w:ascii="Cambria Math" w:hAnsi="Cambria Math" w:cs="Cambria Math"/>
                      <w:i/>
                    </w:rPr>
                  </m:ctrlPr>
                </m:num>
                <m:den>
                  <m:r>
                    <m:rPr/>
                    <w:rPr>
                      <w:rFonts w:ascii="Cambria Math" w:hAnsi="Cambria Math" w:cs="Cambria Math"/>
                    </w:rPr>
                    <m:t>b</m:t>
                  </m:r>
                  <m:ctrlPr>
                    <w:rPr>
                      <w:rFonts w:ascii="Cambria Math" w:hAnsi="Cambria Math" w:cs="Cambria Math"/>
                      <w:i/>
                    </w:rPr>
                  </m:ctrlPr>
                </m:den>
              </m:f>
              <m:r>
                <m:rPr/>
                <w:rPr>
                  <w:rFonts w:ascii="Cambria Math" w:hAnsi="Cambria Math" w:cs="Cambria Math"/>
                </w:rPr>
                <m:t>+</m:t>
              </m:r>
              <m:f>
                <m:fPr>
                  <m:ctrlPr>
                    <w:rPr>
                      <w:rFonts w:ascii="Cambria Math" w:hAnsi="Cambria Math" w:cs="Cambria Math"/>
                      <w:i/>
                    </w:rPr>
                  </m:ctrlPr>
                </m:fPr>
                <m:num>
                  <m:r>
                    <m:rPr/>
                    <w:rPr>
                      <w:rFonts w:ascii="Cambria Math" w:hAnsi="Cambria Math" w:cs="Cambria Math"/>
                    </w:rPr>
                    <m:t>1</m:t>
                  </m:r>
                  <m:ctrlPr>
                    <w:rPr>
                      <w:rFonts w:ascii="Cambria Math" w:hAnsi="Cambria Math" w:cs="Cambria Math"/>
                      <w:i/>
                    </w:rPr>
                  </m:ctrlPr>
                </m:num>
                <m:den>
                  <m:r>
                    <m:rPr/>
                    <w:rPr>
                      <w:rFonts w:ascii="Cambria Math" w:hAnsi="Cambria Math" w:cs="Cambria Math"/>
                    </w:rPr>
                    <m:t>c</m:t>
                  </m:r>
                  <m:ctrlPr>
                    <w:rPr>
                      <w:rFonts w:ascii="Cambria Math" w:hAnsi="Cambria Math" w:cs="Cambria Math"/>
                      <w:i/>
                    </w:rPr>
                  </m:ctrlPr>
                </m:den>
              </m:f>
              <m:r>
                <m:rPr/>
                <w:rPr>
                  <w:rFonts w:ascii="Cambria Math" w:hAnsi="Cambria Math" w:cs="Cambria Math"/>
                </w:rPr>
                <m:t>+</m:t>
              </m:r>
              <m:f>
                <m:fPr>
                  <m:ctrlPr>
                    <w:rPr>
                      <w:rFonts w:ascii="Cambria Math" w:hAnsi="Cambria Math" w:cs="Cambria Math"/>
                      <w:i/>
                    </w:rPr>
                  </m:ctrlPr>
                </m:fPr>
                <m:num>
                  <m:r>
                    <m:rPr/>
                    <w:rPr>
                      <w:rFonts w:ascii="Cambria Math" w:hAnsi="Cambria Math" w:cs="Cambria Math"/>
                    </w:rPr>
                    <m:t>1</m:t>
                  </m:r>
                  <m:ctrlPr>
                    <w:rPr>
                      <w:rFonts w:ascii="Cambria Math" w:hAnsi="Cambria Math" w:cs="Cambria Math"/>
                      <w:i/>
                    </w:rPr>
                  </m:ctrlPr>
                </m:num>
                <m:den>
                  <m:r>
                    <m:rPr/>
                    <w:rPr>
                      <w:rFonts w:ascii="Cambria Math" w:hAnsi="Cambria Math" w:cs="Cambria Math"/>
                    </w:rPr>
                    <m:t>d</m:t>
                  </m:r>
                  <m:ctrlPr>
                    <w:rPr>
                      <w:rFonts w:ascii="Cambria Math" w:hAnsi="Cambria Math" w:cs="Cambria Math"/>
                      <w:i/>
                    </w:rPr>
                  </m:ctrlPr>
                </m:den>
              </m:f>
              <m:ctrlPr>
                <w:rPr>
                  <w:rFonts w:ascii="Cambria Math" w:hAnsi="Cambria Math" w:cs="Cambria Math"/>
                  <w:i/>
                </w:rPr>
              </m:ctrlPr>
            </m:e>
          </m:rad>
        </m:oMath>
      </m:oMathPara>
    </w:p>
    <w:p w14:paraId="5D5092ED">
      <w:pPr>
        <w:widowControl/>
        <w:jc w:val="left"/>
        <w:rPr>
          <w:rFonts w:ascii="Times New Roman" w:hAnsi="Times New Roman"/>
        </w:rPr>
      </w:pPr>
      <w:r>
        <w:rPr>
          <w:rFonts w:ascii="Times New Roman" w:hAnsi="Times New Roman"/>
        </w:rPr>
        <w:t>The criteria of positive signals: the lower limit of 95% CI&gt;1, N≥3;</w:t>
      </w:r>
    </w:p>
    <w:p w14:paraId="77216948">
      <w:pPr>
        <w:widowControl/>
        <w:jc w:val="left"/>
        <w:rPr>
          <w:rFonts w:ascii="Times New Roman" w:hAnsi="Times New Roman"/>
          <w:b/>
        </w:rPr>
      </w:pPr>
      <w:r>
        <w:rPr>
          <w:rFonts w:ascii="Times New Roman" w:hAnsi="Times New Roman"/>
          <w:b/>
        </w:rPr>
        <w:t>(II) PRR method</w:t>
      </w:r>
    </w:p>
    <w:p w14:paraId="57D0F188">
      <m:oMathPara>
        <m:oMath>
          <m:r>
            <m:rPr/>
            <w:rPr>
              <w:rFonts w:ascii="Cambria Math" w:hAnsi="Cambria Math"/>
            </w:rPr>
            <m:t>PRR=</m:t>
          </m:r>
          <m:f>
            <m:fPr>
              <m:ctrlPr>
                <w:rPr>
                  <w:rFonts w:ascii="Cambria Math" w:hAnsi="Cambria Math"/>
                  <w:i/>
                </w:rPr>
              </m:ctrlPr>
            </m:fPr>
            <m:num>
              <m:r>
                <m:rPr/>
                <w:rPr>
                  <w:rFonts w:ascii="Cambria Math" w:hAnsi="Cambria Math"/>
                </w:rPr>
                <m:t>a(c+d)</m:t>
              </m:r>
              <m:ctrlPr>
                <w:rPr>
                  <w:rFonts w:ascii="Cambria Math" w:hAnsi="Cambria Math"/>
                  <w:i/>
                </w:rPr>
              </m:ctrlPr>
            </m:num>
            <m:den>
              <m:r>
                <m:rPr/>
                <w:rPr>
                  <w:rFonts w:ascii="Cambria Math" w:hAnsi="Cambria Math"/>
                </w:rPr>
                <m:t>c(a+b)</m:t>
              </m:r>
              <m:ctrlPr>
                <w:rPr>
                  <w:rFonts w:ascii="Cambria Math" w:hAnsi="Cambria Math"/>
                  <w:i/>
                </w:rPr>
              </m:ctrlPr>
            </m:den>
          </m:f>
        </m:oMath>
      </m:oMathPara>
    </w:p>
    <w:p w14:paraId="05CECA59">
      <m:oMathPara>
        <m:oMath>
          <m:r>
            <m:rPr>
              <m:sty m:val="p"/>
            </m:rPr>
            <w:rPr>
              <w:rFonts w:ascii="Cambria Math" w:hAnsi="Cambria Math" w:eastAsia="微软雅黑"/>
            </w:rPr>
            <m:t>χ2</m:t>
          </m:r>
          <m:r>
            <m:rPr/>
            <w:rPr>
              <w:rFonts w:hint="eastAsia" w:ascii="Cambria Math" w:hAnsi="Cambria Math"/>
            </w:rPr>
            <m:t>=</m:t>
          </m:r>
          <m:f>
            <m:fPr>
              <m:ctrlPr>
                <w:rPr>
                  <w:rFonts w:ascii="Cambria Math" w:hAnsi="Cambria Math"/>
                  <w:i/>
                </w:rPr>
              </m:ctrlPr>
            </m:fPr>
            <m:num>
              <m:d>
                <m:dPr>
                  <m:ctrlPr>
                    <w:rPr>
                      <w:rFonts w:ascii="Cambria Math" w:hAnsi="Cambria Math"/>
                      <w:i/>
                    </w:rPr>
                  </m:ctrlPr>
                </m:dPr>
                <m:e>
                  <m:r>
                    <m:rPr/>
                    <w:rPr>
                      <w:rFonts w:ascii="Cambria Math" w:hAnsi="Cambria Math"/>
                    </w:rPr>
                    <m:t>a+b+c+d</m:t>
                  </m:r>
                  <m:ctrlPr>
                    <w:rPr>
                      <w:rFonts w:ascii="Cambria Math" w:hAnsi="Cambria Math"/>
                      <w:i/>
                    </w:rPr>
                  </m:ctrlPr>
                </m:e>
              </m:d>
              <m:sSup>
                <m:sSupPr>
                  <m:ctrlPr>
                    <w:rPr>
                      <w:rFonts w:ascii="Cambria Math" w:hAnsi="Cambria Math"/>
                      <w:i/>
                    </w:rPr>
                  </m:ctrlPr>
                </m:sSupPr>
                <m:e>
                  <m:r>
                    <m:rPr/>
                    <w:rPr>
                      <w:rFonts w:ascii="Cambria Math" w:hAnsi="Cambria Math"/>
                    </w:rPr>
                    <m:t>(ad−bc)</m:t>
                  </m:r>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num>
            <m:den>
              <m:r>
                <m:rPr/>
                <w:rPr>
                  <w:rFonts w:ascii="Cambria Math" w:hAnsi="Cambria Math"/>
                </w:rPr>
                <m:t>(a+b)(c+d)(a+c)(b+d)</m:t>
              </m:r>
              <m:ctrlPr>
                <w:rPr>
                  <w:rFonts w:ascii="Cambria Math" w:hAnsi="Cambria Math"/>
                  <w:i/>
                </w:rPr>
              </m:ctrlPr>
            </m:den>
          </m:f>
        </m:oMath>
      </m:oMathPara>
    </w:p>
    <w:p w14:paraId="693566EF">
      <w:pPr>
        <w:widowControl/>
        <w:jc w:val="left"/>
        <w:rPr>
          <w:rFonts w:ascii="Times New Roman" w:hAnsi="Times New Roman" w:eastAsia="微软雅黑"/>
        </w:rPr>
      </w:pPr>
      <w:r>
        <w:rPr>
          <w:rFonts w:ascii="Times New Roman" w:hAnsi="Times New Roman"/>
        </w:rPr>
        <w:t xml:space="preserve">The criteria of positive signals: PRR≥2, </w:t>
      </w:r>
      <w:bookmarkStart w:id="23" w:name="OLE_LINK13"/>
      <w:bookmarkStart w:id="24" w:name="OLE_LINK12"/>
      <w:r>
        <w:rPr>
          <w:rFonts w:ascii="Times New Roman" w:hAnsi="Times New Roman" w:eastAsia="微软雅黑"/>
        </w:rPr>
        <w:t>χ2</w:t>
      </w:r>
      <w:bookmarkEnd w:id="23"/>
      <w:bookmarkEnd w:id="24"/>
      <w:r>
        <w:rPr>
          <w:rFonts w:ascii="Times New Roman" w:hAnsi="Times New Roman" w:eastAsia="微软雅黑"/>
        </w:rPr>
        <w:t xml:space="preserve"> ≥4, N≥3;</w:t>
      </w:r>
    </w:p>
    <w:p w14:paraId="40BADE47">
      <w:pPr>
        <w:widowControl/>
        <w:jc w:val="left"/>
        <w:rPr>
          <w:rFonts w:ascii="Times New Roman" w:hAnsi="Times New Roman"/>
          <w:b/>
          <w:bCs/>
        </w:rPr>
      </w:pPr>
      <w:r>
        <w:rPr>
          <w:rFonts w:ascii="Times New Roman" w:hAnsi="Times New Roman"/>
          <w:b/>
          <w:bCs/>
        </w:rPr>
        <w:t>(III) BPCNN method</w:t>
      </w:r>
    </w:p>
    <w:p w14:paraId="5BEE2282">
      <w:pPr>
        <w:widowControl/>
        <w:jc w:val="left"/>
        <w:rPr>
          <w:rFonts w:ascii="Times New Roman" w:hAnsi="Times New Roman"/>
        </w:rPr>
      </w:pPr>
      <m:oMathPara>
        <m:oMath>
          <m:r>
            <m:rPr/>
            <w:rPr>
              <w:rFonts w:ascii="Cambria Math" w:hAnsi="Cambria Math"/>
            </w:rPr>
            <m:t>IC=</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ctrlPr>
                    <w:rPr>
                      <w:rFonts w:ascii="Cambria Math" w:hAnsi="Cambria Math"/>
                      <w:i/>
                    </w:rPr>
                  </m:ctrlPr>
                </m:e>
                <m:sub>
                  <m:r>
                    <m:rPr/>
                    <w:rPr>
                      <w:rFonts w:ascii="Cambria Math" w:hAnsi="Cambria Math"/>
                    </w:rPr>
                    <m:t>2</m:t>
                  </m:r>
                  <m:ctrlPr>
                    <w:rPr>
                      <w:rFonts w:ascii="Cambria Math" w:hAnsi="Cambria Math"/>
                      <w:i/>
                    </w:rPr>
                  </m:ctrlPr>
                </m:sub>
              </m:sSub>
              <m:ctrlPr>
                <w:rPr>
                  <w:rFonts w:ascii="Cambria Math" w:hAnsi="Cambria Math"/>
                  <w:i/>
                </w:rPr>
              </m:ctrlPr>
            </m:fName>
            <m:e>
              <m:f>
                <m:fPr>
                  <m:ctrlPr>
                    <w:rPr>
                      <w:rFonts w:ascii="Cambria Math" w:hAnsi="Cambria Math"/>
                      <w:i/>
                    </w:rPr>
                  </m:ctrlPr>
                </m:fPr>
                <m:num>
                  <m:r>
                    <m:rPr/>
                    <w:rPr>
                      <w:rFonts w:ascii="Cambria Math" w:hAnsi="Cambria Math"/>
                    </w:rPr>
                    <m:t>a(a+b+c+d)</m:t>
                  </m:r>
                  <m:ctrlPr>
                    <w:rPr>
                      <w:rFonts w:ascii="Cambria Math" w:hAnsi="Cambria Math"/>
                      <w:i/>
                    </w:rPr>
                  </m:ctrlPr>
                </m:num>
                <m:den>
                  <m:r>
                    <m:rPr/>
                    <w:rPr>
                      <w:rFonts w:ascii="Cambria Math" w:hAnsi="Cambria Math"/>
                    </w:rPr>
                    <m:t>(a+b)(a+c)</m:t>
                  </m:r>
                  <m:ctrlPr>
                    <w:rPr>
                      <w:rFonts w:ascii="Cambria Math" w:hAnsi="Cambria Math"/>
                      <w:i/>
                    </w:rPr>
                  </m:ctrlPr>
                </m:den>
              </m:f>
              <m:ctrlPr>
                <w:rPr>
                  <w:rFonts w:ascii="Cambria Math" w:hAnsi="Cambria Math"/>
                  <w:i/>
                </w:rPr>
              </m:ctrlPr>
            </m:e>
          </m:func>
        </m:oMath>
      </m:oMathPara>
    </w:p>
    <w:p w14:paraId="59AEB176">
      <w:pPr>
        <w:widowControl/>
        <w:jc w:val="left"/>
        <w:rPr>
          <w:rFonts w:ascii="Times New Roman" w:hAnsi="Times New Roman"/>
        </w:rPr>
      </w:pPr>
      <m:oMathPara>
        <m:oMath>
          <m:r>
            <m:rPr/>
            <w:rPr>
              <w:rFonts w:ascii="Cambria Math" w:hAnsi="Cambria Math"/>
            </w:rPr>
            <m:t>95% CI=E(IC)±2×</m:t>
          </m:r>
          <m:rad>
            <m:radPr>
              <m:degHide m:val="1"/>
              <m:ctrlPr>
                <w:rPr>
                  <w:rFonts w:ascii="Cambria Math" w:hAnsi="Cambria Math"/>
                  <w:i/>
                </w:rPr>
              </m:ctrlPr>
            </m:radPr>
            <m:deg>
              <m:ctrlPr>
                <w:rPr>
                  <w:rFonts w:ascii="Cambria Math" w:hAnsi="Cambria Math"/>
                  <w:i/>
                </w:rPr>
              </m:ctrlPr>
            </m:deg>
            <m:e>
              <m:r>
                <m:rPr/>
                <w:rPr>
                  <w:rFonts w:ascii="Cambria Math" w:hAnsi="Cambria Math"/>
                </w:rPr>
                <m:t>V(IC)</m:t>
              </m:r>
              <m:ctrlPr>
                <w:rPr>
                  <w:rFonts w:ascii="Cambria Math" w:hAnsi="Cambria Math"/>
                  <w:i/>
                </w:rPr>
              </m:ctrlPr>
            </m:e>
          </m:rad>
        </m:oMath>
      </m:oMathPara>
    </w:p>
    <w:p w14:paraId="1DDAECB6">
      <w:pPr>
        <w:widowControl/>
        <w:jc w:val="left"/>
        <w:rPr>
          <w:rFonts w:ascii="Times New Roman" w:hAnsi="Times New Roman" w:eastAsia="微软雅黑"/>
        </w:rPr>
      </w:pPr>
      <w:r>
        <w:rPr>
          <w:rFonts w:ascii="Times New Roman" w:hAnsi="Times New Roman"/>
        </w:rPr>
        <w:t>The criteria of positive signals: IC025 &gt;0 (IC025: the lower bound of 95% CI)</w:t>
      </w:r>
      <w:r>
        <w:rPr>
          <w:rFonts w:ascii="Times New Roman" w:hAnsi="Times New Roman" w:eastAsia="微软雅黑"/>
        </w:rPr>
        <w:t>;</w:t>
      </w:r>
    </w:p>
    <w:p w14:paraId="72B7CAB8">
      <w:pPr>
        <w:widowControl/>
        <w:jc w:val="left"/>
        <w:rPr>
          <w:rFonts w:ascii="Times New Roman" w:hAnsi="Times New Roman"/>
          <w:b/>
          <w:bCs/>
        </w:rPr>
      </w:pPr>
      <w:r>
        <w:rPr>
          <w:rFonts w:ascii="Times New Roman" w:hAnsi="Times New Roman"/>
          <w:b/>
          <w:bCs/>
        </w:rPr>
        <w:t>(IV) EBGM method</w:t>
      </w:r>
    </w:p>
    <w:p w14:paraId="0FE8F56D">
      <w:pPr>
        <w:widowControl/>
        <w:jc w:val="left"/>
        <w:rPr>
          <w:rFonts w:ascii="Times New Roman" w:hAnsi="Times New Roman"/>
        </w:rPr>
      </w:pPr>
      <m:oMathPara>
        <m:oMath>
          <m:r>
            <m:rPr/>
            <w:rPr>
              <w:rFonts w:ascii="Cambria Math" w:hAnsi="Cambria Math"/>
            </w:rPr>
            <m:t>EBGM=</m:t>
          </m:r>
          <m:f>
            <m:fPr>
              <m:ctrlPr>
                <w:rPr>
                  <w:rFonts w:ascii="Cambria Math" w:hAnsi="Cambria Math"/>
                  <w:i/>
                </w:rPr>
              </m:ctrlPr>
            </m:fPr>
            <m:num>
              <m:r>
                <m:rPr/>
                <w:rPr>
                  <w:rFonts w:ascii="Cambria Math" w:hAnsi="Cambria Math"/>
                </w:rPr>
                <m:t>a(a+b+c+d)</m:t>
              </m:r>
              <m:ctrlPr>
                <w:rPr>
                  <w:rFonts w:ascii="Cambria Math" w:hAnsi="Cambria Math"/>
                  <w:i/>
                </w:rPr>
              </m:ctrlPr>
            </m:num>
            <m:den>
              <m:r>
                <m:rPr/>
                <w:rPr>
                  <w:rFonts w:ascii="Cambria Math" w:hAnsi="Cambria Math"/>
                </w:rPr>
                <m:t>(a+c)(a+b)</m:t>
              </m:r>
              <m:ctrlPr>
                <w:rPr>
                  <w:rFonts w:ascii="Cambria Math" w:hAnsi="Cambria Math"/>
                  <w:i/>
                </w:rPr>
              </m:ctrlPr>
            </m:den>
          </m:f>
        </m:oMath>
      </m:oMathPara>
    </w:p>
    <w:p w14:paraId="771BFE62">
      <w:pPr>
        <w:widowControl/>
        <w:jc w:val="left"/>
        <w:rPr>
          <w:rFonts w:ascii="Times New Roman" w:hAnsi="Times New Roman"/>
        </w:rPr>
      </w:pPr>
      <m:oMathPara>
        <m:oMath>
          <m:r>
            <m:rPr/>
            <w:rPr>
              <w:rFonts w:ascii="Cambria Math" w:hAnsi="Cambria Math"/>
            </w:rPr>
            <m:t>95% CI=</m:t>
          </m:r>
          <m:sSup>
            <m:sSupPr>
              <m:ctrlPr>
                <w:rPr>
                  <w:rFonts w:ascii="Cambria Math" w:hAnsi="Cambria Math"/>
                  <w:i/>
                </w:rPr>
              </m:ctrlPr>
            </m:sSupPr>
            <m:e>
              <m:r>
                <m:rPr/>
                <w:rPr>
                  <w:rFonts w:ascii="Cambria Math" w:hAnsi="Cambria Math"/>
                </w:rPr>
                <m:t>e</m:t>
              </m:r>
              <m:ctrlPr>
                <w:rPr>
                  <w:rFonts w:ascii="Cambria Math" w:hAnsi="Cambria Math"/>
                  <w:i/>
                </w:rPr>
              </m:ctrlPr>
            </m:e>
            <m:sup>
              <m:r>
                <m:rPr>
                  <m:sty m:val="p"/>
                </m:rPr>
                <w:rPr>
                  <w:rFonts w:ascii="Cambria Math" w:hAnsi="Cambria Math"/>
                </w:rPr>
                <m:t>ln⁡</m:t>
              </m:r>
              <m:r>
                <m:rPr/>
                <w:rPr>
                  <w:rFonts w:ascii="Cambria Math" w:hAnsi="Cambria Math"/>
                </w:rPr>
                <m:t>(EBGM)±1.96</m:t>
              </m:r>
              <m:rad>
                <m:radPr>
                  <m:degHide m:val="1"/>
                  <m:ctrlPr>
                    <w:rPr>
                      <w:rFonts w:ascii="Cambria Math" w:hAnsi="Cambria Math"/>
                      <w:i/>
                    </w:rPr>
                  </m:ctrlPr>
                </m:radPr>
                <m:deg>
                  <m:ctrlPr>
                    <w:rPr>
                      <w:rFonts w:ascii="Cambria Math" w:hAnsi="Cambria Math"/>
                      <w:i/>
                    </w:rPr>
                  </m:ctrlPr>
                </m:deg>
                <m:e>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a</m:t>
                      </m:r>
                      <m:ctrlPr>
                        <w:rPr>
                          <w:rFonts w:ascii="Cambria Math" w:hAnsi="Cambria Math"/>
                          <w:i/>
                        </w:rPr>
                      </m:ctrlPr>
                    </m:den>
                  </m:f>
                  <m:r>
                    <m:rPr/>
                    <w:rPr>
                      <w:rFonts w:ascii="Cambria Math" w:hAnsi="Cambria Math"/>
                    </w:rPr>
                    <m:t>+</m:t>
                  </m:r>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b</m:t>
                      </m:r>
                      <m:ctrlPr>
                        <w:rPr>
                          <w:rFonts w:ascii="Cambria Math" w:hAnsi="Cambria Math"/>
                          <w:i/>
                        </w:rPr>
                      </m:ctrlPr>
                    </m:den>
                  </m:f>
                  <m:r>
                    <m:rPr/>
                    <w:rPr>
                      <w:rFonts w:ascii="Cambria Math" w:hAnsi="Cambria Math"/>
                    </w:rPr>
                    <m:t>+</m:t>
                  </m:r>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c</m:t>
                      </m:r>
                      <m:ctrlPr>
                        <w:rPr>
                          <w:rFonts w:ascii="Cambria Math" w:hAnsi="Cambria Math"/>
                          <w:i/>
                        </w:rPr>
                      </m:ctrlPr>
                    </m:den>
                  </m:f>
                  <m:r>
                    <m:rPr/>
                    <w:rPr>
                      <w:rFonts w:ascii="Cambria Math" w:hAnsi="Cambria Math"/>
                    </w:rPr>
                    <m:t>+</m:t>
                  </m:r>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d</m:t>
                      </m:r>
                      <m:ctrlPr>
                        <w:rPr>
                          <w:rFonts w:ascii="Cambria Math" w:hAnsi="Cambria Math"/>
                          <w:i/>
                        </w:rPr>
                      </m:ctrlPr>
                    </m:den>
                  </m:f>
                  <m:ctrlPr>
                    <w:rPr>
                      <w:rFonts w:ascii="Cambria Math" w:hAnsi="Cambria Math"/>
                      <w:i/>
                    </w:rPr>
                  </m:ctrlPr>
                </m:e>
              </m:rad>
              <m:ctrlPr>
                <w:rPr>
                  <w:rFonts w:ascii="Cambria Math" w:hAnsi="Cambria Math"/>
                  <w:i/>
                </w:rPr>
              </m:ctrlPr>
            </m:sup>
          </m:sSup>
        </m:oMath>
      </m:oMathPara>
    </w:p>
    <w:p w14:paraId="07FAE0C1">
      <w:pPr>
        <w:widowControl/>
        <w:jc w:val="left"/>
        <w:rPr>
          <w:rFonts w:ascii="Times New Roman" w:hAnsi="Times New Roman" w:eastAsia="微软雅黑"/>
        </w:rPr>
      </w:pPr>
      <w:r>
        <w:rPr>
          <w:rFonts w:ascii="Times New Roman" w:hAnsi="Times New Roman"/>
        </w:rPr>
        <w:t>The criteria of positive signals: EBGM05 &gt;2 (EBGM05: the lower bound of 95% CI).</w:t>
      </w:r>
    </w:p>
    <w:p w14:paraId="3E8CF5D9">
      <w:pPr>
        <w:rPr>
          <w:rFonts w:ascii="Times New Roman" w:hAnsi="Times New Roman"/>
          <w:sz w:val="24"/>
          <w:szCs w:val="24"/>
        </w:rPr>
      </w:pPr>
      <w:r>
        <w:rPr>
          <w:rFonts w:ascii="Times New Roman" w:hAnsi="Times New Roman"/>
          <w:sz w:val="24"/>
          <w:szCs w:val="24"/>
        </w:rPr>
        <w:t xml:space="preserve"> </w:t>
      </w:r>
    </w:p>
    <w:p w14:paraId="40C06657">
      <w:pPr>
        <w:rPr>
          <w:rFonts w:ascii="Times New Roman" w:hAnsi="Times New Roman"/>
          <w:sz w:val="24"/>
          <w:szCs w:val="24"/>
        </w:rPr>
      </w:pPr>
      <w:bookmarkStart w:id="25" w:name="OLE_LINK21"/>
      <w:r>
        <w:rPr>
          <w:rFonts w:ascii="Times New Roman" w:hAnsi="Times New Roman"/>
          <w:sz w:val="24"/>
          <w:szCs w:val="24"/>
        </w:rPr>
        <w:t>The effective and favorable ADR results must concurrently satisfy the screening criteria outlined by the aforementioned four methods. All data processing and statistical analyses related to Erlotinib have been conducted utilizing SAS, Navicat for MySQL, WPS Excel, and R software.</w:t>
      </w:r>
    </w:p>
    <w:bookmarkEnd w:id="25"/>
    <w:p w14:paraId="3022EFA6">
      <w:pPr>
        <w:rPr>
          <w:rFonts w:ascii="Times New Roman" w:hAnsi="Times New Roman"/>
          <w:sz w:val="24"/>
          <w:szCs w:val="24"/>
        </w:rPr>
      </w:pPr>
      <w:r>
        <w:rPr>
          <w:rFonts w:ascii="Times New Roman" w:hAnsi="Times New Roman"/>
          <w:sz w:val="24"/>
          <w:szCs w:val="24"/>
        </w:rPr>
        <w:t xml:space="preserve"> </w:t>
      </w:r>
    </w:p>
    <w:p w14:paraId="47507731">
      <w:pPr>
        <w:rPr>
          <w:rFonts w:ascii="Times New Roman" w:hAnsi="Times New Roman"/>
          <w:sz w:val="24"/>
          <w:szCs w:val="24"/>
        </w:rPr>
      </w:pPr>
      <w:r>
        <w:rPr>
          <w:rFonts w:ascii="Times New Roman" w:hAnsi="Times New Roman"/>
          <w:sz w:val="24"/>
          <w:szCs w:val="24"/>
        </w:rPr>
        <w:t xml:space="preserve"> </w:t>
      </w:r>
    </w:p>
    <w:p w14:paraId="74F95C01">
      <w:pPr>
        <w:rPr>
          <w:rFonts w:ascii="Times New Roman" w:hAnsi="Times New Roman"/>
          <w:sz w:val="24"/>
          <w:szCs w:val="24"/>
        </w:rPr>
      </w:pPr>
      <w:r>
        <w:rPr>
          <w:rFonts w:ascii="Times New Roman" w:hAnsi="Times New Roman"/>
          <w:sz w:val="24"/>
          <w:szCs w:val="24"/>
        </w:rPr>
        <w:t xml:space="preserve"> </w:t>
      </w:r>
    </w:p>
    <w:p w14:paraId="1D4B7DF6">
      <w:pPr>
        <w:rPr>
          <w:rFonts w:ascii="Times New Roman" w:hAnsi="Times New Roman"/>
          <w:sz w:val="24"/>
          <w:szCs w:val="24"/>
        </w:rPr>
      </w:pPr>
      <w:r>
        <w:rPr>
          <w:rFonts w:ascii="Times New Roman" w:hAnsi="Times New Roman"/>
          <w:sz w:val="24"/>
          <w:szCs w:val="24"/>
        </w:rPr>
        <w:t xml:space="preserve"> </w:t>
      </w:r>
    </w:p>
    <w:p w14:paraId="742C19E9">
      <w:pPr>
        <w:widowControl/>
        <w:jc w:val="left"/>
        <w:rPr>
          <w:rFonts w:ascii="Times New Roman Bold" w:hAnsi="Times New Roman Bold" w:cs="Times New Roman Bold"/>
          <w:b/>
          <w:bCs/>
          <w:sz w:val="28"/>
          <w:szCs w:val="28"/>
        </w:rPr>
        <w:sectPr>
          <w:pgSz w:w="11906" w:h="16838"/>
          <w:pgMar w:top="1440" w:right="1800" w:bottom="1440" w:left="1800" w:header="851" w:footer="992" w:gutter="0"/>
          <w:cols w:space="720" w:num="1"/>
          <w:docGrid w:type="lines" w:linePitch="312" w:charSpace="0"/>
        </w:sectPr>
      </w:pPr>
    </w:p>
    <w:p w14:paraId="5AEAEDCA">
      <w:pPr>
        <w:rPr>
          <w:rFonts w:ascii="Times New Roman Italic" w:hAnsi="Times New Roman Italic"/>
          <w:i/>
          <w:iCs/>
          <w:sz w:val="24"/>
          <w:szCs w:val="24"/>
        </w:rPr>
      </w:pPr>
      <w:r>
        <w:rPr>
          <w:rFonts w:ascii="Times New Roman Bold" w:hAnsi="Times New Roman Bold" w:cs="Times New Roman Bold"/>
          <w:b/>
          <w:bCs/>
          <w:sz w:val="28"/>
          <w:szCs w:val="28"/>
        </w:rPr>
        <w:t>Results</w:t>
      </w:r>
      <w:r>
        <w:rPr>
          <w:rFonts w:ascii="Times New Roman Bold" w:hAnsi="Times New Roman Bold" w:cs="Times New Roman Bold"/>
          <w:b/>
          <w:bCs/>
          <w:sz w:val="28"/>
          <w:szCs w:val="28"/>
        </w:rPr>
        <w:br w:type="textWrapping"/>
      </w:r>
      <w:bookmarkStart w:id="26" w:name="OLE_LINK7"/>
      <w:bookmarkStart w:id="27" w:name="OLE_LINK6"/>
      <w:r>
        <w:rPr>
          <w:rFonts w:ascii="Times New Roman Italic" w:hAnsi="Times New Roman Italic"/>
          <w:i/>
          <w:iCs/>
          <w:sz w:val="24"/>
          <w:szCs w:val="24"/>
        </w:rPr>
        <w:t>Descriptive results</w:t>
      </w:r>
    </w:p>
    <w:p w14:paraId="6C3EFC58">
      <w:pPr>
        <w:rPr>
          <w:rFonts w:ascii="Times New Roman" w:hAnsi="Times New Roman"/>
          <w:color w:val="EE0000"/>
          <w:sz w:val="24"/>
          <w:szCs w:val="24"/>
        </w:rPr>
      </w:pPr>
      <w:bookmarkStart w:id="28" w:name="OLE_LINK20"/>
      <w:r>
        <w:rPr>
          <w:rFonts w:ascii="Times New Roman" w:hAnsi="Times New Roman"/>
          <w:color w:val="EE0000"/>
          <w:sz w:val="24"/>
          <w:szCs w:val="24"/>
        </w:rPr>
        <w:t>During the study period spanning from the first quarter of 2005 to the fourth quarter of 2021, a total of 9,360,316 case reports were collected from the FDA Adverse Event Reporting System (FAERS). Among these, after removing duplicate entries and applying four distinct algorithms, 2,870 adverse events (AEs, primarily identified by ROR</w:t>
      </w:r>
      <w:r>
        <w:rPr>
          <w:rFonts w:hint="eastAsia" w:ascii="Times New Roman" w:hAnsi="Times New Roman"/>
          <w:color w:val="EE0000"/>
          <w:sz w:val="24"/>
          <w:szCs w:val="24"/>
        </w:rPr>
        <w:t xml:space="preserve"> and PRR</w:t>
      </w:r>
      <w:r>
        <w:rPr>
          <w:rFonts w:ascii="Times New Roman" w:hAnsi="Times New Roman"/>
          <w:color w:val="EE0000"/>
          <w:sz w:val="24"/>
          <w:szCs w:val="24"/>
        </w:rPr>
        <w:t>) and 177 adverse drug reactions (ADRs, satisfying all four methods) related to erlotinib as the primary suspected drug were identified from 26,957 case reports.</w:t>
      </w:r>
      <w:r>
        <w:rPr>
          <w:rFonts w:hint="eastAsia" w:ascii="Times New Roman" w:hAnsi="Times New Roman"/>
          <w:color w:val="EE0000"/>
          <w:sz w:val="24"/>
          <w:szCs w:val="24"/>
        </w:rPr>
        <w:t xml:space="preserve"> </w:t>
      </w:r>
      <w:r>
        <w:rPr>
          <w:rFonts w:ascii="Times New Roman" w:hAnsi="Times New Roman"/>
          <w:color w:val="EE0000"/>
          <w:sz w:val="24"/>
          <w:szCs w:val="24"/>
        </w:rPr>
        <w:t>The specific clinical characteristics of events associated with erlotinib are detailed in Table 2.</w:t>
      </w:r>
    </w:p>
    <w:p w14:paraId="4763B713">
      <w:pPr>
        <w:rPr>
          <w:rFonts w:ascii="Times New Roman" w:hAnsi="Times New Roman"/>
          <w:color w:val="EE0000"/>
          <w:sz w:val="24"/>
          <w:szCs w:val="24"/>
        </w:rPr>
      </w:pPr>
    </w:p>
    <w:p w14:paraId="0522C8BE">
      <w:pPr>
        <w:rPr>
          <w:rFonts w:ascii="Times New Roman" w:hAnsi="Times New Roman"/>
          <w:color w:val="EE0000"/>
          <w:sz w:val="24"/>
          <w:szCs w:val="24"/>
        </w:rPr>
      </w:pPr>
      <w:r>
        <w:rPr>
          <w:rFonts w:ascii="Times New Roman" w:hAnsi="Times New Roman"/>
          <w:color w:val="EE0000"/>
          <w:sz w:val="24"/>
          <w:szCs w:val="24"/>
        </w:rPr>
        <w:t>In the analysis of case reports encompassing all AEs, the gender distribution revealed that females accounted for approximately 38.11% of the total case reports. Regarding age demographics, individuals aged 60 to 69 exhibited a higher incidence of AEs compared to other age groups, representing 6.56% (2,325) of the reports with known age information. Furthermore, the leading countries in the utilization of erlotinib included the United States (18,124 reports, 67.23%), Japan (422 reports, 1.57%), China (334 reports, 1.24%), the United Kingdom (264 reports, 0.98%), and France (264 reports, 0.98%). The most severe outcome associated with AEs was death, accounting for 13,785 reports (38.89%), in contrast to other outcomes such as hospitalization (3,588 reports, 10.12%), life-threatening conditions (253 reports, 0.71%), and disability (118 reports, 0.31%).</w:t>
      </w:r>
    </w:p>
    <w:p w14:paraId="5C676490">
      <w:pPr>
        <w:rPr>
          <w:rFonts w:ascii="Times New Roman" w:hAnsi="Times New Roman"/>
          <w:color w:val="EE0000"/>
          <w:sz w:val="24"/>
          <w:szCs w:val="24"/>
        </w:rPr>
      </w:pPr>
    </w:p>
    <w:bookmarkEnd w:id="28"/>
    <w:p w14:paraId="06D7F39B">
      <w:pPr>
        <w:rPr>
          <w:rFonts w:ascii="Times New Roman" w:hAnsi="Times New Roman"/>
          <w:i/>
          <w:iCs/>
          <w:sz w:val="24"/>
          <w:szCs w:val="24"/>
        </w:rPr>
      </w:pPr>
      <w:r>
        <w:rPr>
          <w:rFonts w:ascii="Times New Roman" w:hAnsi="Times New Roman"/>
          <w:sz w:val="24"/>
          <w:szCs w:val="24"/>
        </w:rPr>
        <w:br w:type="textWrapping"/>
      </w:r>
      <w:r>
        <w:rPr>
          <w:rFonts w:hint="eastAsia" w:ascii="Times New Roman" w:hAnsi="Times New Roman"/>
          <w:i/>
          <w:iCs/>
          <w:sz w:val="24"/>
          <w:szCs w:val="24"/>
        </w:rPr>
        <w:t>Signals</w:t>
      </w:r>
      <w:r>
        <w:rPr>
          <w:rFonts w:ascii="Times New Roman" w:hAnsi="Times New Roman"/>
          <w:i/>
          <w:iCs/>
          <w:sz w:val="24"/>
          <w:szCs w:val="24"/>
        </w:rPr>
        <w:t xml:space="preserve"> detection </w:t>
      </w:r>
      <w:r>
        <w:rPr>
          <w:rFonts w:hint="eastAsia" w:ascii="Times New Roman" w:hAnsi="Times New Roman"/>
          <w:i/>
          <w:iCs/>
          <w:sz w:val="24"/>
          <w:szCs w:val="24"/>
        </w:rPr>
        <w:t>associated</w:t>
      </w:r>
      <w:r>
        <w:rPr>
          <w:rFonts w:ascii="Times New Roman" w:hAnsi="Times New Roman"/>
          <w:i/>
          <w:iCs/>
          <w:sz w:val="24"/>
          <w:szCs w:val="24"/>
        </w:rPr>
        <w:t xml:space="preserve"> </w:t>
      </w:r>
      <w:r>
        <w:rPr>
          <w:rFonts w:hint="eastAsia" w:ascii="Times New Roman" w:hAnsi="Times New Roman"/>
          <w:i/>
          <w:iCs/>
          <w:sz w:val="24"/>
          <w:szCs w:val="24"/>
        </w:rPr>
        <w:t>with</w:t>
      </w:r>
      <w:r>
        <w:rPr>
          <w:rFonts w:ascii="Times New Roman" w:hAnsi="Times New Roman"/>
          <w:i/>
          <w:iCs/>
          <w:sz w:val="24"/>
          <w:szCs w:val="24"/>
        </w:rPr>
        <w:t xml:space="preserve"> </w:t>
      </w:r>
      <w:r>
        <w:rPr>
          <w:rFonts w:hint="eastAsia" w:ascii="Times New Roman" w:hAnsi="Times New Roman"/>
          <w:i/>
          <w:iCs/>
          <w:sz w:val="24"/>
          <w:szCs w:val="24"/>
        </w:rPr>
        <w:t>erlotinib</w:t>
      </w:r>
      <w:r>
        <w:rPr>
          <w:rFonts w:ascii="Times New Roman" w:hAnsi="Times New Roman"/>
          <w:i/>
          <w:iCs/>
          <w:sz w:val="24"/>
          <w:szCs w:val="24"/>
        </w:rPr>
        <w:t xml:space="preserve"> </w:t>
      </w:r>
      <w:r>
        <w:rPr>
          <w:rFonts w:hint="eastAsia" w:ascii="Times New Roman" w:hAnsi="Times New Roman"/>
          <w:i/>
          <w:iCs/>
          <w:sz w:val="24"/>
          <w:szCs w:val="24"/>
        </w:rPr>
        <w:t>at</w:t>
      </w:r>
      <w:r>
        <w:rPr>
          <w:rFonts w:ascii="Times New Roman" w:hAnsi="Times New Roman"/>
          <w:i/>
          <w:iCs/>
          <w:sz w:val="24"/>
          <w:szCs w:val="24"/>
        </w:rPr>
        <w:t xml:space="preserve"> the </w:t>
      </w:r>
      <w:r>
        <w:rPr>
          <w:rFonts w:hint="eastAsia" w:ascii="Times New Roman" w:hAnsi="Times New Roman"/>
          <w:i/>
          <w:iCs/>
          <w:sz w:val="24"/>
          <w:szCs w:val="24"/>
        </w:rPr>
        <w:t>SOC</w:t>
      </w:r>
      <w:r>
        <w:rPr>
          <w:rFonts w:ascii="Times New Roman" w:hAnsi="Times New Roman"/>
          <w:i/>
          <w:iCs/>
          <w:sz w:val="24"/>
          <w:szCs w:val="24"/>
        </w:rPr>
        <w:t xml:space="preserve"> </w:t>
      </w:r>
      <w:r>
        <w:rPr>
          <w:rFonts w:hint="eastAsia" w:ascii="Times New Roman" w:hAnsi="Times New Roman"/>
          <w:i/>
          <w:iCs/>
          <w:sz w:val="24"/>
          <w:szCs w:val="24"/>
        </w:rPr>
        <w:t>level</w:t>
      </w:r>
    </w:p>
    <w:p w14:paraId="5B619575">
      <w:pPr>
        <w:rPr>
          <w:rFonts w:ascii="Times New Roman" w:hAnsi="Times New Roman" w:eastAsia="DengXian"/>
          <w:color w:val="EE0000"/>
          <w:sz w:val="24"/>
          <w:szCs w:val="24"/>
        </w:rPr>
      </w:pPr>
      <w:bookmarkStart w:id="29" w:name="OLE_LINK22"/>
      <w:r>
        <w:rPr>
          <w:rFonts w:ascii="Times New Roman" w:hAnsi="Times New Roman" w:eastAsia="DengXian"/>
          <w:color w:val="EE0000"/>
          <w:sz w:val="24"/>
          <w:szCs w:val="24"/>
        </w:rPr>
        <w:t>As illustrated in Table 3, the three most prevalent adverse events at the System Organ Class (SOC) level include general disorders and administration site conditions (case reports: 13,114; ROR=16.46; PRR=8.94; IC025=3.06; EBGM05=8.53), skin and subcutaneous tissue disorders (case reports: 6,839; ROR=11.41; PRR=8.77; IC025=3.01; EBGM05=8.34), and gastrointestinal disorders (case reports: 3,205; ROR=4.78; PRR=4.33; IC025=1.98; EBGM05=4.14). A further analysis of signal strength indicates that the leading three SOC categories of adverse events are congenital, familial, and genetic disorders (ROR=82.3), reproductive system and breast disorders (ROR=24.23), and nervous system disorders (ROR=11.49), all of which are also referenced in the erlotinib manual.</w:t>
      </w:r>
    </w:p>
    <w:p w14:paraId="72F1780F">
      <w:pPr>
        <w:rPr>
          <w:rFonts w:ascii="Times New Roman" w:hAnsi="Times New Roman" w:eastAsia="DengXian"/>
          <w:color w:val="EE0000"/>
          <w:sz w:val="24"/>
          <w:szCs w:val="24"/>
        </w:rPr>
      </w:pPr>
      <w:r>
        <w:rPr>
          <w:rFonts w:ascii="Times New Roman" w:hAnsi="Times New Roman" w:eastAsia="DengXian"/>
          <w:color w:val="EE0000"/>
          <w:sz w:val="24"/>
          <w:szCs w:val="24"/>
        </w:rPr>
        <w:t>Additionally, there are SOC terms not included in the erlotinib label, such as cardiac disorders (case reports: 177; ROR=5.83; PRR=5.8; IC025=2.02; EBGM05=4.93), vascular disorders (case reports: 138; ROR=4.71; PRR=4.69; IC025=1.66; EBGM05=3.92), surgical and medical procedures (case reports: 38; ROR=3.97; PRR=3.96; IC025=0.94; EBGM05=2.85), reproductive system and breast disorders (case reports: 20; ROR=24.23; PRR=24.21; IC025=3.07; EBGM05=14.42), and injury, poisoning, and procedural complications (case reports: 16; ROR=9.18; PRR=9.17; IC025=1.61; EBGM05=5.45).</w:t>
      </w:r>
    </w:p>
    <w:p w14:paraId="2682FA6F">
      <w:pPr>
        <w:rPr>
          <w:rFonts w:ascii="Times New Roman" w:hAnsi="Times New Roman" w:eastAsia="DengXian"/>
          <w:sz w:val="24"/>
          <w:szCs w:val="24"/>
        </w:rPr>
      </w:pPr>
    </w:p>
    <w:bookmarkEnd w:id="29"/>
    <w:p w14:paraId="09CE3823">
      <w:pPr>
        <w:rPr>
          <w:rFonts w:ascii="Times New Roman" w:hAnsi="Times New Roman" w:eastAsia="DengXian"/>
          <w:i/>
          <w:iCs/>
        </w:rPr>
      </w:pPr>
      <w:r>
        <w:rPr>
          <w:rFonts w:ascii="Times New Roman" w:hAnsi="Times New Roman" w:eastAsia="DengXian"/>
          <w:i/>
          <w:iCs/>
          <w:sz w:val="24"/>
          <w:szCs w:val="24"/>
        </w:rPr>
        <w:t xml:space="preserve">Signals detection associated with </w:t>
      </w:r>
      <w:r>
        <w:rPr>
          <w:rFonts w:hint="eastAsia" w:ascii="Times New Roman" w:hAnsi="Times New Roman" w:eastAsia="DengXian"/>
          <w:i/>
          <w:iCs/>
          <w:sz w:val="24"/>
          <w:szCs w:val="24"/>
        </w:rPr>
        <w:t>erlotinib</w:t>
      </w:r>
      <w:r>
        <w:rPr>
          <w:rFonts w:ascii="Times New Roman" w:hAnsi="Times New Roman" w:eastAsia="DengXian"/>
          <w:i/>
          <w:iCs/>
          <w:sz w:val="24"/>
          <w:szCs w:val="24"/>
        </w:rPr>
        <w:t xml:space="preserve"> </w:t>
      </w:r>
      <w:r>
        <w:rPr>
          <w:rFonts w:hint="eastAsia" w:ascii="Times New Roman" w:hAnsi="Times New Roman" w:eastAsia="DengXian"/>
          <w:i/>
          <w:iCs/>
          <w:sz w:val="24"/>
          <w:szCs w:val="24"/>
        </w:rPr>
        <w:t>at</w:t>
      </w:r>
      <w:r>
        <w:rPr>
          <w:rFonts w:ascii="Times New Roman" w:hAnsi="Times New Roman" w:eastAsia="DengXian"/>
          <w:i/>
          <w:iCs/>
          <w:sz w:val="24"/>
          <w:szCs w:val="24"/>
        </w:rPr>
        <w:t xml:space="preserve"> the </w:t>
      </w:r>
      <w:r>
        <w:rPr>
          <w:rFonts w:hint="eastAsia" w:ascii="Times New Roman" w:hAnsi="Times New Roman" w:eastAsia="DengXian"/>
          <w:i/>
          <w:iCs/>
          <w:sz w:val="24"/>
          <w:szCs w:val="24"/>
        </w:rPr>
        <w:t>PT</w:t>
      </w:r>
      <w:r>
        <w:rPr>
          <w:rFonts w:ascii="Times New Roman" w:hAnsi="Times New Roman" w:eastAsia="DengXian"/>
          <w:i/>
          <w:iCs/>
          <w:sz w:val="24"/>
          <w:szCs w:val="24"/>
        </w:rPr>
        <w:t xml:space="preserve"> </w:t>
      </w:r>
      <w:r>
        <w:rPr>
          <w:rFonts w:hint="eastAsia" w:ascii="Times New Roman" w:hAnsi="Times New Roman" w:eastAsia="DengXian"/>
          <w:i/>
          <w:iCs/>
          <w:sz w:val="24"/>
          <w:szCs w:val="24"/>
        </w:rPr>
        <w:t>level</w:t>
      </w:r>
    </w:p>
    <w:p w14:paraId="4369048D">
      <w:pPr>
        <w:rPr>
          <w:rFonts w:ascii="Times New Roman" w:hAnsi="Times New Roman"/>
          <w:color w:val="EE0000"/>
          <w:sz w:val="24"/>
          <w:szCs w:val="24"/>
        </w:rPr>
      </w:pPr>
      <w:r>
        <w:rPr>
          <w:rFonts w:ascii="Times New Roman" w:hAnsi="Times New Roman"/>
          <w:sz w:val="24"/>
          <w:szCs w:val="24"/>
        </w:rPr>
        <w:br w:type="textWrapping"/>
      </w:r>
      <w:bookmarkStart w:id="30" w:name="OLE_LINK23"/>
      <w:r>
        <w:rPr>
          <w:rFonts w:ascii="Times New Roman" w:hAnsi="Times New Roman"/>
          <w:color w:val="EE0000"/>
          <w:sz w:val="24"/>
          <w:szCs w:val="24"/>
        </w:rPr>
        <w:t>In Table 4, the adverse events (AEs) at the Preferred Term (PT) level account for 177 PTs associated with erlotinib, all of which simultaneously met the criteria of four positive signal screening methods. The five most frequently reported PTs, ranked by case reports, are as follows: death (11,753 cases), rash (4,061 cases), diarrhoea (2,732 cases), disease progression (898 cases), and decreased appetite (724 cases). These findings are consistent with common clinical AEs and align with those documented in the erlotinib drug label (Table 4).</w:t>
      </w:r>
    </w:p>
    <w:p w14:paraId="2EE05B82">
      <w:pPr>
        <w:rPr>
          <w:rFonts w:ascii="Times New Roman" w:hAnsi="Times New Roman"/>
          <w:color w:val="EE0000"/>
          <w:sz w:val="24"/>
          <w:szCs w:val="24"/>
        </w:rPr>
      </w:pPr>
    </w:p>
    <w:p w14:paraId="5275C8BA">
      <w:pPr>
        <w:rPr>
          <w:rFonts w:ascii="Times New Roman" w:hAnsi="Times New Roman"/>
          <w:color w:val="EE0000"/>
          <w:sz w:val="24"/>
          <w:szCs w:val="24"/>
        </w:rPr>
      </w:pPr>
      <w:r>
        <w:rPr>
          <w:rFonts w:ascii="Times New Roman" w:hAnsi="Times New Roman"/>
          <w:color w:val="EE0000"/>
          <w:sz w:val="24"/>
          <w:szCs w:val="24"/>
        </w:rPr>
        <w:t>Additionally, the top five PTs ranked by the IC025 value include dermatitis acneiform (282 cases, IC025 = 5.16), EGFR gene mutation (33 cases, IC025 = 4.85), non-small cell lung cancer metastatic (42 cases, IC025 = 4.73), growth of eyelashes (54 cases, IC025 = 4.58), and metastases to thorax (18 cases, IC025 = 4.41) (see supplementary Table S1).</w:t>
      </w:r>
      <w:r>
        <w:rPr>
          <w:rFonts w:hint="eastAsia" w:ascii="Times New Roman" w:hAnsi="Times New Roman"/>
          <w:color w:val="EE0000"/>
          <w:sz w:val="24"/>
          <w:szCs w:val="24"/>
        </w:rPr>
        <w:t xml:space="preserve"> </w:t>
      </w:r>
      <w:r>
        <w:rPr>
          <w:rFonts w:ascii="Times New Roman" w:hAnsi="Times New Roman"/>
          <w:color w:val="EE0000"/>
          <w:sz w:val="24"/>
          <w:szCs w:val="24"/>
        </w:rPr>
        <w:t>Moreover, several unexpected significant AEs ranked by IC025 at the PT level are not included in the erlotinib label, including alopecia scarring (12 cases), metastases to the neck (19 cases), and nail bed inflammation (11 cases), among others. Additional unexpected and newly identified significant AEs are presented in supplementary Table S1.</w:t>
      </w:r>
    </w:p>
    <w:bookmarkEnd w:id="26"/>
    <w:bookmarkEnd w:id="27"/>
    <w:bookmarkEnd w:id="30"/>
    <w:p w14:paraId="0B883138">
      <w:pPr>
        <w:rPr>
          <w:rFonts w:ascii="Times New Roman" w:hAnsi="Times New Roman"/>
          <w:sz w:val="24"/>
          <w:szCs w:val="24"/>
        </w:rPr>
      </w:pPr>
    </w:p>
    <w:p w14:paraId="50BDAE80">
      <w:pPr>
        <w:rPr>
          <w:rFonts w:ascii="Times New Roman Bold" w:hAnsi="Times New Roman Bold" w:cs="Times New Roman Bold"/>
          <w:b/>
          <w:bCs/>
          <w:sz w:val="28"/>
          <w:szCs w:val="28"/>
        </w:rPr>
      </w:pPr>
      <w:bookmarkStart w:id="31" w:name="OLE_LINK26"/>
      <w:r>
        <w:rPr>
          <w:rFonts w:ascii="Times New Roman Bold" w:hAnsi="Times New Roman Bold" w:cs="Times New Roman Bold"/>
          <w:b/>
          <w:bCs/>
          <w:sz w:val="28"/>
          <w:szCs w:val="28"/>
        </w:rPr>
        <w:t>Discussion</w:t>
      </w:r>
    </w:p>
    <w:p w14:paraId="461A72F0">
      <w:pPr>
        <w:rPr>
          <w:rFonts w:ascii="Times New Roman" w:hAnsi="Times New Roman"/>
          <w:color w:val="EE0000"/>
          <w:sz w:val="24"/>
          <w:szCs w:val="24"/>
        </w:rPr>
      </w:pPr>
      <w:bookmarkStart w:id="32" w:name="OLE_LINK24"/>
      <w:bookmarkStart w:id="33" w:name="OLE_LINK8"/>
      <w:bookmarkStart w:id="34" w:name="OLE_LINK9"/>
      <w:r>
        <w:rPr>
          <w:rFonts w:ascii="Times New Roman" w:hAnsi="Times New Roman"/>
          <w:color w:val="EE0000"/>
          <w:sz w:val="24"/>
          <w:szCs w:val="24"/>
        </w:rPr>
        <w:t xml:space="preserve">Cancer is a complex and challenging disease characterized by limited treatment options, particularly in pharmacotherapy. The therapeutic efficacy of the same drug can vary significantly among individuals. Consequently, it is both necessary and meaningful to monitor the adverse drug reactions (ADRs) associated with these treatments, as they may provide critical insights into patient prognoses following drug administration. Skin-related disorders (e.g., rash), liver dysfunction, and diarrhea are well-documented as major ADRs in patients undergoing treatment with epidermal growth factor receptor (EGFR) kinase inhibitors, such as erlotinib and gefitinib </w:t>
      </w:r>
      <w:r>
        <w:rPr>
          <w:rFonts w:ascii="Times New Roman" w:hAnsi="Times New Roman"/>
          <w:color w:val="EE0000"/>
          <w:sz w:val="24"/>
          <w:szCs w:val="24"/>
        </w:rPr>
        <w:fldChar w:fldCharType="begin">
          <w:fldData xml:space="preserve">PEVuZE5vdGU+PENpdGU+PEF1dGhvcj5TYWlmPC9BdXRob3I+PFllYXI+MjAxMDwvWWVhcj48UmVj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</w:fldData>
        </w:fldChar>
      </w:r>
      <w:r>
        <w:rPr>
          <w:rFonts w:ascii="Times New Roman" w:hAnsi="Times New Roman"/>
          <w:color w:val="EE0000"/>
          <w:sz w:val="24"/>
          <w:szCs w:val="24"/>
        </w:rPr>
        <w:instrText xml:space="preserve"> ADDIN EN.CITE </w:instrText>
      </w:r>
      <w:r>
        <w:rPr>
          <w:rFonts w:ascii="Times New Roman" w:hAnsi="Times New Roman"/>
          <w:color w:val="EE0000"/>
          <w:sz w:val="24"/>
          <w:szCs w:val="24"/>
        </w:rPr>
        <w:fldChar w:fldCharType="begin">
          <w:fldData xml:space="preserve">PEVuZE5vdGU+PENpdGU+PEF1dGhvcj5TYWlmPC9BdXRob3I+PFllYXI+MjAxMDwvWWVhcj48UmVj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</w:fldData>
        </w:fldChar>
      </w:r>
      <w:r>
        <w:rPr>
          <w:rFonts w:ascii="Times New Roman" w:hAnsi="Times New Roman"/>
          <w:color w:val="EE0000"/>
          <w:sz w:val="24"/>
          <w:szCs w:val="24"/>
        </w:rPr>
        <w:instrText xml:space="preserve"> ADDIN EN.CITE.DATA </w:instrText>
      </w:r>
      <w:r>
        <w:rPr>
          <w:rFonts w:ascii="Times New Roman" w:hAnsi="Times New Roman"/>
          <w:color w:val="EE0000"/>
          <w:sz w:val="24"/>
          <w:szCs w:val="24"/>
        </w:rPr>
        <w:fldChar w:fldCharType="end"/>
      </w:r>
      <w:r>
        <w:rPr>
          <w:rFonts w:ascii="Times New Roman" w:hAnsi="Times New Roman"/>
          <w:color w:val="EE0000"/>
          <w:sz w:val="24"/>
          <w:szCs w:val="24"/>
        </w:rPr>
        <w:fldChar w:fldCharType="separate"/>
      </w:r>
      <w:r>
        <w:rPr>
          <w:rFonts w:ascii="Times New Roman" w:hAnsi="Times New Roman"/>
          <w:color w:val="EE0000"/>
          <w:sz w:val="24"/>
          <w:szCs w:val="24"/>
        </w:rPr>
        <w:t>[23-25]</w:t>
      </w:r>
      <w:r>
        <w:rPr>
          <w:rFonts w:ascii="Times New Roman" w:hAnsi="Times New Roman"/>
          <w:color w:val="EE0000"/>
          <w:sz w:val="24"/>
          <w:szCs w:val="24"/>
        </w:rPr>
        <w:fldChar w:fldCharType="end"/>
      </w:r>
      <w:r>
        <w:rPr>
          <w:rFonts w:ascii="Times New Roman" w:hAnsi="Times New Roman"/>
          <w:color w:val="EE0000"/>
          <w:sz w:val="24"/>
          <w:szCs w:val="24"/>
        </w:rPr>
        <w:t>.</w:t>
      </w:r>
    </w:p>
    <w:p w14:paraId="7FB82E5C">
      <w:pPr>
        <w:rPr>
          <w:rFonts w:ascii="Times New Roman" w:hAnsi="Times New Roman"/>
          <w:color w:val="EE0000"/>
          <w:sz w:val="24"/>
          <w:szCs w:val="24"/>
        </w:rPr>
      </w:pPr>
    </w:p>
    <w:p w14:paraId="104AC858">
      <w:pPr>
        <w:rPr>
          <w:rFonts w:ascii="Times New Roman" w:hAnsi="Times New Roman"/>
          <w:color w:val="EE0000"/>
          <w:sz w:val="24"/>
          <w:szCs w:val="24"/>
        </w:rPr>
      </w:pPr>
      <w:r>
        <w:rPr>
          <w:rFonts w:ascii="Times New Roman" w:hAnsi="Times New Roman"/>
          <w:color w:val="EE0000"/>
          <w:sz w:val="24"/>
          <w:szCs w:val="24"/>
        </w:rPr>
        <w:t xml:space="preserve">In this study, we observed that certain ADRs were consistent with those listed in the package insert for erlotinib, while others were not. Data mining of the FDA Adverse Event Reporting System (FAERS) revealed that the most frequently reported and significant signals of ADRs at the System Organ Class (SOC) level included congenital, familial, and genetic disorders (ROR=82.3, PRR=82.2, IC025=4.85, EBGM05=45.57) as well as reproductive system and breast disorders (ROR=24.23, PRR=24.21, IC025=3.07, EBGM05=14.42). </w:t>
      </w:r>
      <w:bookmarkStart w:id="35" w:name="OLE_LINK31"/>
      <w:r>
        <w:rPr>
          <w:rFonts w:ascii="Times New Roman" w:hAnsi="Times New Roman"/>
          <w:color w:val="EE0000"/>
          <w:sz w:val="24"/>
          <w:szCs w:val="24"/>
        </w:rPr>
        <w:t xml:space="preserve">Notably, significant ADRs were primarily associated with EGFR gene mutations, pelvic metastases, and breast metastases. The combination of erlotinib and bevacizumab has been shown to enhance overall survival (OS) in patients with EGFR gene mutations, albeit with accompanying adverse events such as rash and diarrhea </w:t>
      </w:r>
      <w:bookmarkEnd w:id="35"/>
      <w:r>
        <w:rPr>
          <w:rFonts w:ascii="Times New Roman" w:hAnsi="Times New Roman"/>
          <w:sz w:val="24"/>
          <w:szCs w:val="24"/>
        </w:rPr>
        <w:t xml:space="preserve"> </w:t>
      </w:r>
      <w:r>
        <w:rPr>
          <w:rFonts w:ascii="Times New Roman" w:hAnsi="Times New Roman"/>
          <w:sz w:val="24"/>
          <w:szCs w:val="24"/>
        </w:rPr>
        <w:fldChar w:fldCharType="begin">
          <w:fldData xml:space="preserve">PEVuZE5vdGU+PENpdGU+PEF1dGhvcj5aaGFvPC9BdXRob3I+PFllYXI+MjAxODwvWWVhcj48UmVj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</w:fldData>
        </w:fldChar>
      </w:r>
      <w:r>
        <w:rPr>
          <w:rFonts w:ascii="Times New Roman" w:hAnsi="Times New Roman"/>
          <w:sz w:val="24"/>
          <w:szCs w:val="24"/>
        </w:rPr>
        <w:instrText xml:space="preserve"> ADDIN EN.CITE </w:instrText>
      </w:r>
      <w:r>
        <w:rPr>
          <w:rFonts w:ascii="Times New Roman" w:hAnsi="Times New Roman"/>
          <w:sz w:val="24"/>
          <w:szCs w:val="24"/>
        </w:rPr>
        <w:fldChar w:fldCharType="begin">
          <w:fldData xml:space="preserve">PEVuZE5vdGU+PENpdGU+PEF1dGhvcj5aaGFvPC9BdXRob3I+PFllYXI+MjAxODwvWWVhcj48UmVj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</w:fldData>
        </w:fldChar>
      </w:r>
      <w:r>
        <w:rPr>
          <w:rFonts w:ascii="Times New Roman" w:hAnsi="Times New Roman"/>
          <w:sz w:val="24"/>
          <w:szCs w:val="24"/>
        </w:rPr>
        <w:instrText xml:space="preserve"> ADDIN EN.CITE.DATA </w:instrText>
      </w:r>
      <w:r>
        <w:rPr>
          <w:rFonts w:ascii="Times New Roman" w:hAnsi="Times New Roman"/>
          <w:sz w:val="24"/>
          <w:szCs w:val="24"/>
        </w:rPr>
        <w:fldChar w:fldCharType="end"/>
      </w:r>
      <w:r>
        <w:rPr>
          <w:rFonts w:ascii="Times New Roman" w:hAnsi="Times New Roman"/>
          <w:sz w:val="24"/>
          <w:szCs w:val="24"/>
        </w:rPr>
        <w:fldChar w:fldCharType="separate"/>
      </w:r>
      <w:r>
        <w:rPr>
          <w:rFonts w:ascii="Times New Roman" w:hAnsi="Times New Roman"/>
          <w:sz w:val="24"/>
          <w:szCs w:val="24"/>
        </w:rPr>
        <w:t>[26]</w:t>
      </w:r>
      <w:r>
        <w:rPr>
          <w:rFonts w:ascii="Times New Roman" w:hAnsi="Times New Roman"/>
          <w:sz w:val="24"/>
          <w:szCs w:val="24"/>
        </w:rPr>
        <w:fldChar w:fldCharType="end"/>
      </w:r>
      <w:r>
        <w:rPr>
          <w:rFonts w:ascii="Times New Roman" w:hAnsi="Times New Roman"/>
          <w:color w:val="EE0000"/>
          <w:sz w:val="24"/>
          <w:szCs w:val="24"/>
        </w:rPr>
        <w:t xml:space="preserve">. Furthermore, early exposure to erlotinib may be linked to the development of adverse events, while increasing exposure does not appear to affect outcomes in patients with EGFR gene mutations </w:t>
      </w:r>
      <w:r>
        <w:rPr>
          <w:rFonts w:ascii="Times New Roman" w:hAnsi="Times New Roman"/>
          <w:sz w:val="24"/>
          <w:szCs w:val="24"/>
        </w:rPr>
        <w:fldChar w:fldCharType="begin">
          <w:fldData xml:space="preserve">PEVuZE5vdGU+PENpdGU+PEF1dGhvcj5GdWt1ZG88L0F1dGhvcj48WWVhcj4yMDEzPC9ZZWFyPjxS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</w:fldData>
        </w:fldChar>
      </w:r>
      <w:r>
        <w:rPr>
          <w:rFonts w:ascii="Times New Roman" w:hAnsi="Times New Roman"/>
          <w:sz w:val="24"/>
          <w:szCs w:val="24"/>
        </w:rPr>
        <w:instrText xml:space="preserve"> ADDIN EN.CITE </w:instrText>
      </w:r>
      <w:r>
        <w:rPr>
          <w:rFonts w:ascii="Times New Roman" w:hAnsi="Times New Roman"/>
          <w:sz w:val="24"/>
          <w:szCs w:val="24"/>
        </w:rPr>
        <w:fldChar w:fldCharType="begin">
          <w:fldData xml:space="preserve">PEVuZE5vdGU+PENpdGU+PEF1dGhvcj5GdWt1ZG88L0F1dGhvcj48WWVhcj4yMDEzPC9ZZWFyPjxS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</w:fldData>
        </w:fldChar>
      </w:r>
      <w:r>
        <w:rPr>
          <w:rFonts w:ascii="Times New Roman" w:hAnsi="Times New Roman"/>
          <w:sz w:val="24"/>
          <w:szCs w:val="24"/>
        </w:rPr>
        <w:instrText xml:space="preserve"> ADDIN EN.CITE.DATA </w:instrText>
      </w:r>
      <w:r>
        <w:rPr>
          <w:rFonts w:ascii="Times New Roman" w:hAnsi="Times New Roman"/>
          <w:sz w:val="24"/>
          <w:szCs w:val="24"/>
        </w:rPr>
        <w:fldChar w:fldCharType="end"/>
      </w:r>
      <w:r>
        <w:rPr>
          <w:rFonts w:ascii="Times New Roman" w:hAnsi="Times New Roman"/>
          <w:sz w:val="24"/>
          <w:szCs w:val="24"/>
        </w:rPr>
        <w:fldChar w:fldCharType="separate"/>
      </w:r>
      <w:r>
        <w:rPr>
          <w:rFonts w:ascii="Times New Roman" w:hAnsi="Times New Roman"/>
          <w:sz w:val="24"/>
          <w:szCs w:val="24"/>
        </w:rPr>
        <w:t>[27]</w:t>
      </w:r>
      <w:r>
        <w:rPr>
          <w:rFonts w:ascii="Times New Roman" w:hAnsi="Times New Roman"/>
          <w:sz w:val="24"/>
          <w:szCs w:val="24"/>
        </w:rPr>
        <w:fldChar w:fldCharType="end"/>
      </w:r>
      <w:r>
        <w:rPr>
          <w:rFonts w:ascii="Times New Roman" w:hAnsi="Times New Roman"/>
          <w:color w:val="EE0000"/>
          <w:sz w:val="24"/>
          <w:szCs w:val="24"/>
        </w:rPr>
        <w:t xml:space="preserve">. The 1-year progression-free survival (PFS) rate and median PFS for concurrent erlotinib plus thoracic radiotherapy are reported to be superior to those observed with erlotinib monotherapy </w:t>
      </w:r>
      <w:r>
        <w:rPr>
          <w:rFonts w:ascii="Times New Roman" w:hAnsi="Times New Roman"/>
          <w:sz w:val="24"/>
          <w:szCs w:val="24"/>
        </w:rPr>
        <w:fldChar w:fldCharType="begin">
          <w:fldData xml:space="preserve">PEVuZE5vdGU+PENpdGU+PEF1dGhvcj5aaGVuZzwvQXV0aG9yPjxZZWFyPjIwMTk8L1llYXI+PFJl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</w:fldData>
        </w:fldChar>
      </w:r>
      <w:r>
        <w:rPr>
          <w:rFonts w:ascii="Times New Roman" w:hAnsi="Times New Roman"/>
          <w:sz w:val="24"/>
          <w:szCs w:val="24"/>
        </w:rPr>
        <w:instrText xml:space="preserve"> ADDIN EN.CITE </w:instrText>
      </w:r>
      <w:r>
        <w:rPr>
          <w:rFonts w:ascii="Times New Roman" w:hAnsi="Times New Roman"/>
          <w:sz w:val="24"/>
          <w:szCs w:val="24"/>
        </w:rPr>
        <w:fldChar w:fldCharType="begin">
          <w:fldData xml:space="preserve">PEVuZE5vdGU+PENpdGU+PEF1dGhvcj5aaGVuZzwvQXV0aG9yPjxZZWFyPjIwMTk8L1llYXI+PFJl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</w:fldData>
        </w:fldChar>
      </w:r>
      <w:r>
        <w:rPr>
          <w:rFonts w:ascii="Times New Roman" w:hAnsi="Times New Roman"/>
          <w:sz w:val="24"/>
          <w:szCs w:val="24"/>
        </w:rPr>
        <w:instrText xml:space="preserve"> ADDIN EN.CITE.DATA </w:instrText>
      </w:r>
      <w:r>
        <w:rPr>
          <w:rFonts w:ascii="Times New Roman" w:hAnsi="Times New Roman"/>
          <w:sz w:val="24"/>
          <w:szCs w:val="24"/>
        </w:rPr>
        <w:fldChar w:fldCharType="end"/>
      </w:r>
      <w:r>
        <w:rPr>
          <w:rFonts w:ascii="Times New Roman" w:hAnsi="Times New Roman"/>
          <w:sz w:val="24"/>
          <w:szCs w:val="24"/>
        </w:rPr>
        <w:fldChar w:fldCharType="separate"/>
      </w:r>
      <w:r>
        <w:rPr>
          <w:rFonts w:ascii="Times New Roman" w:hAnsi="Times New Roman"/>
          <w:sz w:val="24"/>
          <w:szCs w:val="24"/>
        </w:rPr>
        <w:t>[28]</w:t>
      </w:r>
      <w:r>
        <w:rPr>
          <w:rFonts w:ascii="Times New Roman" w:hAnsi="Times New Roman"/>
          <w:sz w:val="24"/>
          <w:szCs w:val="24"/>
        </w:rPr>
        <w:fldChar w:fldCharType="end"/>
      </w:r>
      <w:r>
        <w:rPr>
          <w:rFonts w:ascii="Times New Roman" w:hAnsi="Times New Roman"/>
          <w:color w:val="EE0000"/>
          <w:sz w:val="24"/>
          <w:szCs w:val="24"/>
        </w:rPr>
        <w:t>.</w:t>
      </w:r>
    </w:p>
    <w:p w14:paraId="03CFFA82">
      <w:pPr>
        <w:rPr>
          <w:rFonts w:ascii="Times New Roman" w:hAnsi="Times New Roman"/>
          <w:sz w:val="24"/>
          <w:szCs w:val="24"/>
        </w:rPr>
      </w:pPr>
    </w:p>
    <w:p w14:paraId="74EFF761">
      <w:pPr>
        <w:rPr>
          <w:rFonts w:ascii="Times New Roman" w:hAnsi="Times New Roman"/>
          <w:color w:val="EE0000"/>
          <w:sz w:val="24"/>
          <w:szCs w:val="24"/>
        </w:rPr>
      </w:pPr>
      <w:r>
        <w:rPr>
          <w:rFonts w:ascii="Times New Roman" w:hAnsi="Times New Roman"/>
          <w:color w:val="EE0000"/>
          <w:sz w:val="24"/>
          <w:szCs w:val="24"/>
        </w:rPr>
        <w:t xml:space="preserve">In our analysis of AEs identified at the PT level, we observed that the top three AEs ranked by case reports were death, rash, and diarrhea. The elevated number of reported deaths may be attributed to the role of erlotinib as a primary suspect, secondary suspect, or in conjunction with other concomitant and interacting medications in this statistical analysis. Furthermore, Suleiman’s team developed models for erlotinib-related AEs, specifically rash and diarrhea, to elucidate insights into erlotinib toxicity. Their findings indicated that the occurrence of rash or diarrhea is prevalent during the early stages of treatment, with a positive correlation between rash incidence and erlotinib exposure </w:t>
      </w:r>
      <w:r>
        <w:rPr>
          <w:rFonts w:ascii="Times New Roman" w:hAnsi="Times New Roman"/>
          <w:color w:val="000000"/>
          <w:sz w:val="24"/>
          <w:szCs w:val="24"/>
        </w:rPr>
        <w:fldChar w:fldCharType="begin">
          <w:fldData xml:space="preserve">PEVuZE5vdGU+PENpdGU+PEF1dGhvcj5TdWxlaW1hbjwvQXV0aG9yPjxZZWFyPjIwMTU8L1llYXI+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</w:fldData>
        </w:fldChar>
      </w:r>
      <w:r>
        <w:rPr>
          <w:rFonts w:ascii="Times New Roman" w:hAnsi="Times New Roman"/>
          <w:color w:val="000000"/>
          <w:sz w:val="24"/>
          <w:szCs w:val="24"/>
        </w:rPr>
        <w:instrText xml:space="preserve"> ADDIN EN.CITE </w:instrText>
      </w:r>
      <w:r>
        <w:rPr>
          <w:rFonts w:ascii="Times New Roman" w:hAnsi="Times New Roman"/>
          <w:color w:val="000000"/>
          <w:sz w:val="24"/>
          <w:szCs w:val="24"/>
        </w:rPr>
        <w:fldChar w:fldCharType="begin">
          <w:fldData xml:space="preserve">PEVuZE5vdGU+PENpdGU+PEF1dGhvcj5TdWxlaW1hbjwvQXV0aG9yPjxZZWFyPjIwMTU8L1llYXI+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</w:fldData>
        </w:fldChar>
      </w:r>
      <w:r>
        <w:rPr>
          <w:rFonts w:ascii="Times New Roman" w:hAnsi="Times New Roman"/>
          <w:color w:val="000000"/>
          <w:sz w:val="24"/>
          <w:szCs w:val="24"/>
        </w:rPr>
        <w:instrText xml:space="preserve"> ADDIN EN.CITE.DATA </w:instrText>
      </w:r>
      <w:r>
        <w:rPr>
          <w:rFonts w:ascii="Times New Roman" w:hAnsi="Times New Roman"/>
          <w:color w:val="000000"/>
          <w:sz w:val="24"/>
          <w:szCs w:val="24"/>
        </w:rPr>
        <w:fldChar w:fldCharType="end"/>
      </w:r>
      <w:r>
        <w:rPr>
          <w:rFonts w:ascii="Times New Roman" w:hAnsi="Times New Roman"/>
          <w:color w:val="000000"/>
          <w:sz w:val="24"/>
          <w:szCs w:val="24"/>
        </w:rPr>
        <w:fldChar w:fldCharType="separate"/>
      </w:r>
      <w:r>
        <w:rPr>
          <w:rFonts w:ascii="Times New Roman" w:hAnsi="Times New Roman"/>
          <w:color w:val="000000"/>
          <w:sz w:val="24"/>
          <w:szCs w:val="24"/>
        </w:rPr>
        <w:t>[29]</w:t>
      </w:r>
      <w:r>
        <w:rPr>
          <w:rFonts w:ascii="Times New Roman" w:hAnsi="Times New Roman"/>
          <w:color w:val="000000"/>
          <w:sz w:val="24"/>
          <w:szCs w:val="24"/>
        </w:rPr>
        <w:fldChar w:fldCharType="end"/>
      </w:r>
      <w:r>
        <w:rPr>
          <w:rFonts w:ascii="Times New Roman" w:hAnsi="Times New Roman"/>
          <w:color w:val="EE0000"/>
          <w:sz w:val="24"/>
          <w:szCs w:val="24"/>
        </w:rPr>
        <w:t xml:space="preserve">. Additionally, the adverse events associated with erlotinib, primarily skin rash, paronychia, and gastrointestinal toxicities, demonstrate a lower incidence rate compared to those associated with dacomitinib </w:t>
      </w:r>
      <w:r>
        <w:rPr>
          <w:rFonts w:ascii="Times New Roman" w:hAnsi="Times New Roman"/>
          <w:color w:val="000000"/>
          <w:sz w:val="24"/>
          <w:szCs w:val="24"/>
        </w:rPr>
        <w:fldChar w:fldCharType="begin"/>
      </w:r>
      <w:r>
        <w:rPr>
          <w:rFonts w:ascii="Times New Roman" w:hAnsi="Times New Roman"/>
          <w:color w:val="000000"/>
          <w:sz w:val="24"/>
          <w:szCs w:val="24"/>
        </w:rPr>
        <w:instrText xml:space="preserve"> ADDIN EN.CITE &lt;EndNote&gt;&lt;Cite&gt;&lt;Author&gt;Zugazagoitia&lt;/Author&gt;&lt;Year&gt;2017&lt;/Year&gt;&lt;RecNum&gt;24&lt;/RecNum&gt;&lt;DisplayText&gt;[30]&lt;/DisplayText&gt;&lt;record&gt;&lt;rec-number&gt;24&lt;/rec-number&gt;&lt;foreign-keys&gt;&lt;key app="EN" db-id="5fpdpfvt2tsstme95zuxd5xo2rx0r0fsvprw" timestamp="1674304819"&gt;24&lt;/key&gt;&lt;/foreign-keys&gt;&lt;ref-type name="Journal Article"&gt;17&lt;/ref-type&gt;&lt;contributors&gt;&lt;authors&gt;&lt;author&gt;Zugazagoitia, J.&lt;/author&gt;&lt;author&gt;Diaz, A.&lt;/author&gt;&lt;author&gt;Jimenez, E.&lt;/author&gt;&lt;author&gt;Nunez, J. A.&lt;/author&gt;&lt;author&gt;Iglesias, L.&lt;/author&gt;&lt;author&gt;Ponce-Aix, S.&lt;/author&gt;&lt;author&gt;Paz-Ares, L.&lt;/author&gt;&lt;/authors&gt;&lt;/contributors&gt;&lt;auth-address&gt;Medical Oncology Department, Hospital Universitario 12 de Octubre, Instituto de Investigacion i+12, Madrid, Spain.&amp;#xD;Complutense University, Madrid, Spain.&lt;/auth-address&gt;&lt;titles&gt;&lt;title&gt;Second-line Treatment of Non-Small Cell Lung Cancer: Focus on the Clinical Development of Dacomitinib&lt;/title&gt;&lt;secondary-title&gt;Front Med (Lausanne)&lt;/secondary-title&gt;&lt;/titles&gt;&lt;periodical&gt;&lt;full-title&gt;Front Med (Lausanne)&lt;/full-title&gt;&lt;/periodical&gt;&lt;pages&gt;36&lt;/pages&gt;&lt;volume&gt;4&lt;/volume&gt;&lt;edition&gt;2017/04/21&lt;/edition&gt;&lt;keywords&gt;&lt;keyword&gt;EGFR mutations&lt;/keyword&gt;&lt;keyword&gt;acquired resistance&lt;/keyword&gt;&lt;keyword&gt;dacomitinib&lt;/keyword&gt;&lt;keyword&gt;non-small cell lung cancer&lt;/keyword&gt;&lt;keyword&gt;second-generation EGFR tyrosine-kinase inhibitors&lt;/keyword&gt;&lt;keyword&gt;second-line treatment&lt;/keyword&gt;&lt;/keywords&gt;&lt;dates&gt;&lt;year&gt;2017&lt;/year&gt;&lt;/dates&gt;&lt;isbn&gt;2296-858X (Print)&amp;#xD;2296-858X (Electronic)&amp;#xD;2296-858X (Linking)&lt;/isbn&gt;&lt;accession-num&gt;28424775&lt;/accession-num&gt;&lt;urls&gt;&lt;related-urls&gt;&lt;url&gt;https://www.ncbi.nlm.nih.gov/pubmed/28424775&lt;/url&gt;&lt;/related-urls&gt;&lt;/urls&gt;&lt;custom2&gt;PMC5380728&lt;/custom2&gt;&lt;electronic-resource-num&gt;10.3389/fmed.2017.00036&lt;/electronic-resource-num&gt;&lt;/record&gt;&lt;/Cite&gt;&lt;/EndNote&gt;</w:instrText>
      </w:r>
      <w:r>
        <w:rPr>
          <w:rFonts w:ascii="Times New Roman" w:hAnsi="Times New Roman"/>
          <w:color w:val="000000"/>
          <w:sz w:val="24"/>
          <w:szCs w:val="24"/>
        </w:rPr>
        <w:fldChar w:fldCharType="separate"/>
      </w:r>
      <w:r>
        <w:rPr>
          <w:rFonts w:ascii="Times New Roman" w:hAnsi="Times New Roman"/>
          <w:color w:val="000000"/>
          <w:sz w:val="24"/>
          <w:szCs w:val="24"/>
        </w:rPr>
        <w:t>[30]</w:t>
      </w:r>
      <w:r>
        <w:rPr>
          <w:rFonts w:ascii="Times New Roman" w:hAnsi="Times New Roman"/>
          <w:color w:val="000000"/>
          <w:sz w:val="24"/>
          <w:szCs w:val="24"/>
        </w:rPr>
        <w:fldChar w:fldCharType="end"/>
      </w:r>
      <w:r>
        <w:rPr>
          <w:rFonts w:ascii="Times New Roman" w:hAnsi="Times New Roman"/>
          <w:color w:val="EE0000"/>
          <w:sz w:val="24"/>
          <w:szCs w:val="24"/>
        </w:rPr>
        <w:t>. Notably, we identified a unique adverse event, superior vena caval occlusion, which is not mapped within the Medical Dictionary for Regulatory Activities (MedDRA) (see supplementary Table S1). In fact, we detected numerous ADRs that are not included in the erlotinib labeling. In summary, greater attention should be directed toward these ADRs that are not explicitly noted on drug packaging when administering erlotinib in the future, and ongoing monitoring of the health status of patients using this medication is imperative.</w:t>
      </w:r>
    </w:p>
    <w:p w14:paraId="289F6209">
      <w:pPr>
        <w:rPr>
          <w:rFonts w:ascii="Times New Roman" w:hAnsi="Times New Roman"/>
          <w:color w:val="EE0000"/>
          <w:sz w:val="24"/>
          <w:szCs w:val="24"/>
        </w:rPr>
      </w:pPr>
    </w:p>
    <w:p w14:paraId="08C8488D">
      <w:pPr>
        <w:rPr>
          <w:rFonts w:ascii="Times New Roman" w:hAnsi="Times New Roman"/>
          <w:color w:val="EE0000"/>
          <w:sz w:val="24"/>
          <w:szCs w:val="24"/>
        </w:rPr>
      </w:pPr>
      <w:r>
        <w:rPr>
          <w:rFonts w:ascii="Times New Roman" w:hAnsi="Times New Roman"/>
          <w:color w:val="EE0000"/>
          <w:sz w:val="24"/>
          <w:szCs w:val="24"/>
        </w:rPr>
        <w:t>The clinical implications of the observed ADRs are significant, particularly in the context of EGFR signaling pathways. EGFR is known to play a crucial role in cell proliferation, differentiation, and survival</w:t>
      </w:r>
      <w:r>
        <w:t xml:space="preserve"> </w:t>
      </w:r>
      <w:r>
        <w:rPr>
          <w:rFonts w:ascii="Times New Roman" w:hAnsi="Times New Roman"/>
          <w:color w:val="EE0000"/>
          <w:sz w:val="24"/>
          <w:szCs w:val="24"/>
        </w:rPr>
        <w:fldChar w:fldCharType="begin"/>
      </w:r>
      <w:r>
        <w:rPr>
          <w:rFonts w:ascii="Times New Roman" w:hAnsi="Times New Roman"/>
          <w:color w:val="EE0000"/>
          <w:sz w:val="24"/>
          <w:szCs w:val="24"/>
        </w:rPr>
        <w:instrText xml:space="preserve"> ADDIN EN.CITE &lt;EndNote&gt;&lt;Cite&gt;&lt;Author&gt;Tomuleasa&lt;/Author&gt;&lt;Year&gt;2024&lt;/Year&gt;&lt;RecNum&gt;5&lt;/RecNum&gt;&lt;DisplayText&gt;[31]&lt;/DisplayText&gt;&lt;record&gt;&lt;rec-number&gt;5&lt;/rec-number&gt;&lt;foreign-keys&gt;&lt;key app="EN" db-id="955vxarxlxsxwnep9taxses8ee0rexsrttsx" timestamp="1769571297"&gt;5&lt;/key&gt;&lt;/foreign-keys&gt;&lt;ref-type name="Journal Article"&gt;17&lt;/ref-type&gt;&lt;contributors&gt;&lt;authors&gt;&lt;author&gt;Tomuleasa, Ciprian&lt;/author&gt;&lt;author&gt;Tigu, Adrian-Bogdan&lt;/author&gt;&lt;author&gt;Munteanu, Raluca&lt;/author&gt;&lt;author&gt;Moldovan, Cristian-Silviu&lt;/author&gt;&lt;author&gt;Kegyes, David&lt;/author&gt;&lt;author&gt;Onaciu, Anca&lt;/author&gt;&lt;author&gt;Gulei, Diana&lt;/author&gt;&lt;author&gt;Ghiaur, Gabriel&lt;/author&gt;&lt;author&gt;Einsele, Hermann&lt;/author&gt;&lt;author&gt;Croce, Carlo M&lt;/author&gt;&lt;/authors&gt;&lt;/contributors&gt;&lt;titles&gt;&lt;title&gt;Therapeutic advances of targeting receptor tyrosine kinases in cancer&lt;/title&gt;&lt;secondary-title&gt;Signal transduction and targeted therapy&lt;/secondary-title&gt;&lt;/titles&gt;&lt;periodical&gt;&lt;full-title&gt;Signal transduction and targeted therapy&lt;/full-title&gt;&lt;/periodical&gt;&lt;pages&gt;201&lt;/pages&gt;&lt;volume&gt;9&lt;/volume&gt;&lt;number&gt;1&lt;/number&gt;&lt;dates&gt;&lt;year&gt;2024&lt;/year&gt;&lt;/dates&gt;&lt;isbn&gt;2059-3635&lt;/isbn&gt;&lt;urls&gt;&lt;/urls&gt;&lt;/record&gt;&lt;/Cite&gt;&lt;/EndNote&gt;</w:instrText>
      </w:r>
      <w:r>
        <w:rPr>
          <w:rFonts w:ascii="Times New Roman" w:hAnsi="Times New Roman"/>
          <w:color w:val="EE0000"/>
          <w:sz w:val="24"/>
          <w:szCs w:val="24"/>
        </w:rPr>
        <w:fldChar w:fldCharType="separate"/>
      </w:r>
      <w:r>
        <w:rPr>
          <w:rFonts w:ascii="Times New Roman" w:hAnsi="Times New Roman"/>
          <w:color w:val="EE0000"/>
          <w:sz w:val="24"/>
          <w:szCs w:val="24"/>
        </w:rPr>
        <w:t>[31]</w:t>
      </w:r>
      <w:r>
        <w:rPr>
          <w:rFonts w:ascii="Times New Roman" w:hAnsi="Times New Roman"/>
          <w:color w:val="EE0000"/>
          <w:sz w:val="24"/>
          <w:szCs w:val="24"/>
        </w:rPr>
        <w:fldChar w:fldCharType="end"/>
      </w:r>
      <w:r>
        <w:rPr>
          <w:rFonts w:ascii="Times New Roman" w:hAnsi="Times New Roman"/>
          <w:color w:val="EE0000"/>
          <w:sz w:val="24"/>
          <w:szCs w:val="24"/>
        </w:rPr>
        <w:t xml:space="preserve">. </w:t>
      </w:r>
      <w:bookmarkStart w:id="36" w:name="OLE_LINK28"/>
      <w:r>
        <w:rPr>
          <w:rFonts w:ascii="Times New Roman" w:hAnsi="Times New Roman"/>
          <w:color w:val="EE0000"/>
          <w:sz w:val="24"/>
          <w:szCs w:val="24"/>
        </w:rPr>
        <w:t>The inhibition of this pathway by agents like erlotinib can lead to unintended consequences, such as skin toxicity and gastrointestinal disturbances, which may arise from the disruption of normal epithelial cell turnover</w:t>
      </w:r>
      <w:r>
        <w:t xml:space="preserve"> </w:t>
      </w:r>
      <w:r>
        <w:rPr>
          <w:rFonts w:ascii="Times New Roman" w:hAnsi="Times New Roman"/>
          <w:color w:val="EE0000"/>
          <w:sz w:val="24"/>
          <w:szCs w:val="24"/>
        </w:rPr>
        <w:fldChar w:fldCharType="begin"/>
      </w:r>
      <w:r>
        <w:rPr>
          <w:rFonts w:ascii="Times New Roman" w:hAnsi="Times New Roman"/>
          <w:color w:val="EE0000"/>
          <w:sz w:val="24"/>
          <w:szCs w:val="24"/>
        </w:rPr>
        <w:instrText xml:space="preserve"> ADDIN EN.CITE &lt;EndNote&gt;&lt;Cite&gt;&lt;Author&gt;Al-Karmalawy&lt;/Author&gt;&lt;Year&gt;2025&lt;/Year&gt;&lt;RecNum&gt;7&lt;/RecNum&gt;&lt;DisplayText&gt;[32]&lt;/DisplayText&gt;&lt;record&gt;&lt;rec-number&gt;7&lt;/rec-number&gt;&lt;foreign-keys&gt;&lt;key app="EN" db-id="955vxarxlxsxwnep9taxses8ee0rexsrttsx" timestamp="1769571449"&gt;7&lt;/key&gt;&lt;/foreign-keys&gt;&lt;ref-type name="Journal Article"&gt;17&lt;/ref-type&gt;&lt;contributors&gt;&lt;authors&gt;&lt;author&gt;Al-Karmalawy, Ahmed A&lt;/author&gt;&lt;author&gt;Eissa, Mohamed E&lt;/author&gt;&lt;author&gt;Ashour, Nada A&lt;/author&gt;&lt;author&gt;Yousef, Tarek A&lt;/author&gt;&lt;author&gt;Al Khatib, Arwa Omar&lt;/author&gt;&lt;author&gt;Hawas, Samia S&lt;/author&gt;&lt;/authors&gt;&lt;/contributors&gt;&lt;titles&gt;&lt;title&gt;Medicinal chemistry perspectives on anticancer drug design based on clinical applications (2015–2025)&lt;/title&gt;&lt;secondary-title&gt;RSC advances&lt;/secondary-title&gt;&lt;/titles&gt;&lt;periodical&gt;&lt;full-title&gt;RSC advances&lt;/full-title&gt;&lt;/periodical&gt;&lt;pages&gt;36441-36471&lt;/pages&gt;&lt;volume&gt;15&lt;/volume&gt;&lt;number&gt;43&lt;/number&gt;&lt;dates&gt;&lt;year&gt;2025&lt;/year&gt;&lt;/dates&gt;&lt;urls&gt;&lt;/urls&gt;&lt;/record&gt;&lt;/Cite&gt;&lt;/EndNote&gt;</w:instrText>
      </w:r>
      <w:r>
        <w:rPr>
          <w:rFonts w:ascii="Times New Roman" w:hAnsi="Times New Roman"/>
          <w:color w:val="EE0000"/>
          <w:sz w:val="24"/>
          <w:szCs w:val="24"/>
        </w:rPr>
        <w:fldChar w:fldCharType="separate"/>
      </w:r>
      <w:r>
        <w:rPr>
          <w:rFonts w:ascii="Times New Roman" w:hAnsi="Times New Roman"/>
          <w:color w:val="EE0000"/>
          <w:sz w:val="24"/>
          <w:szCs w:val="24"/>
        </w:rPr>
        <w:t>[32]</w:t>
      </w:r>
      <w:r>
        <w:rPr>
          <w:rFonts w:ascii="Times New Roman" w:hAnsi="Times New Roman"/>
          <w:color w:val="EE0000"/>
          <w:sz w:val="24"/>
          <w:szCs w:val="24"/>
        </w:rPr>
        <w:fldChar w:fldCharType="end"/>
      </w:r>
      <w:r>
        <w:rPr>
          <w:rFonts w:ascii="Times New Roman" w:hAnsi="Times New Roman"/>
          <w:color w:val="EE0000"/>
          <w:sz w:val="24"/>
          <w:szCs w:val="24"/>
        </w:rPr>
        <w:t>.</w:t>
      </w:r>
      <w:bookmarkEnd w:id="36"/>
      <w:r>
        <w:rPr>
          <w:rFonts w:ascii="Times New Roman" w:hAnsi="Times New Roman"/>
          <w:color w:val="EE0000"/>
          <w:sz w:val="24"/>
          <w:szCs w:val="24"/>
        </w:rPr>
        <w:t xml:space="preserve"> The skin and gastrointestinal tract are particularly sensitive to EGFR inhibition due to their rapid cellular turnover, making these tissues more susceptible to drug-related toxicities.</w:t>
      </w:r>
    </w:p>
    <w:p w14:paraId="52EAEB62">
      <w:pPr>
        <w:rPr>
          <w:rFonts w:ascii="Times New Roman" w:hAnsi="Times New Roman"/>
          <w:color w:val="EE0000"/>
          <w:sz w:val="24"/>
          <w:szCs w:val="24"/>
        </w:rPr>
      </w:pPr>
    </w:p>
    <w:p w14:paraId="75BF974B">
      <w:pPr>
        <w:rPr>
          <w:rFonts w:ascii="Times New Roman" w:hAnsi="Times New Roman"/>
          <w:color w:val="EE0000"/>
          <w:sz w:val="24"/>
          <w:szCs w:val="24"/>
        </w:rPr>
      </w:pPr>
      <w:bookmarkStart w:id="37" w:name="OLE_LINK29"/>
      <w:r>
        <w:rPr>
          <w:rFonts w:ascii="Times New Roman" w:hAnsi="Times New Roman"/>
          <w:color w:val="EE0000"/>
          <w:sz w:val="24"/>
          <w:szCs w:val="24"/>
        </w:rPr>
        <w:t xml:space="preserve">Biologically, the presence of specific </w:t>
      </w:r>
      <w:bookmarkStart w:id="38" w:name="OLE_LINK30"/>
      <w:r>
        <w:rPr>
          <w:rFonts w:ascii="Times New Roman" w:hAnsi="Times New Roman"/>
          <w:color w:val="EE0000"/>
          <w:sz w:val="24"/>
          <w:szCs w:val="24"/>
        </w:rPr>
        <w:t>EGFR mutations</w:t>
      </w:r>
      <w:bookmarkEnd w:id="38"/>
      <w:r>
        <w:rPr>
          <w:rFonts w:ascii="Times New Roman" w:hAnsi="Times New Roman"/>
          <w:color w:val="EE0000"/>
          <w:sz w:val="24"/>
          <w:szCs w:val="24"/>
        </w:rPr>
        <w:t xml:space="preserve"> may predispose patients to unique toxicity profiles</w:t>
      </w:r>
      <w:r>
        <w:t xml:space="preserve"> </w:t>
      </w:r>
      <w:r>
        <w:rPr>
          <w:rFonts w:ascii="Times New Roman" w:hAnsi="Times New Roman"/>
          <w:color w:val="EE0000"/>
          <w:sz w:val="24"/>
          <w:szCs w:val="24"/>
        </w:rPr>
        <w:fldChar w:fldCharType="begin"/>
      </w:r>
      <w:r>
        <w:rPr>
          <w:rFonts w:ascii="Times New Roman" w:hAnsi="Times New Roman"/>
          <w:color w:val="EE0000"/>
          <w:sz w:val="24"/>
          <w:szCs w:val="24"/>
        </w:rPr>
        <w:instrText xml:space="preserve"> ADDIN EN.CITE &lt;EndNote&gt;&lt;Cite&gt;&lt;Author&gt;Obradovic&lt;/Author&gt;&lt;Year&gt;2022&lt;/Year&gt;&lt;RecNum&gt;8&lt;/RecNum&gt;&lt;DisplayText&gt;[33]&lt;/DisplayText&gt;&lt;record&gt;&lt;rec-number&gt;8&lt;/rec-number&gt;&lt;foreign-keys&gt;&lt;key app="EN" db-id="955vxarxlxsxwnep9taxses8ee0rexsrttsx" timestamp="1769585438"&gt;8&lt;/key&gt;&lt;/foreign-keys&gt;&lt;ref-type name="Journal Article"&gt;17&lt;/ref-type&gt;&lt;contributors&gt;&lt;authors&gt;&lt;author&gt;Obradovic, Jasmina&lt;/author&gt;&lt;author&gt;Todosijevic, Jovana&lt;/author&gt;&lt;author&gt;Jurisic, Vladimir&lt;/author&gt;&lt;/authors&gt;&lt;/contributors&gt;&lt;titles&gt;&lt;title&gt;Side effects of tyrosine kinase inhibitors therapy in patients with non-small cell lung cancer and associations with EGFR polymorphisms: A systematic review and meta-analysis&lt;/title&gt;&lt;secondary-title&gt;Oncology Letters&lt;/secondary-title&gt;&lt;/titles&gt;&lt;periodical&gt;&lt;full-title&gt;Oncology Letters&lt;/full-title&gt;&lt;/periodical&gt;&lt;pages&gt;62&lt;/pages&gt;&lt;volume&gt;25&lt;/volume&gt;&lt;number&gt;2&lt;/number&gt;&lt;dates&gt;&lt;year&gt;2022&lt;/year&gt;&lt;/dates&gt;&lt;isbn&gt;1792-1074&lt;/isbn&gt;&lt;urls&gt;&lt;/urls&gt;&lt;/record&gt;&lt;/Cite&gt;&lt;/EndNote&gt;</w:instrText>
      </w:r>
      <w:r>
        <w:rPr>
          <w:rFonts w:ascii="Times New Roman" w:hAnsi="Times New Roman"/>
          <w:color w:val="EE0000"/>
          <w:sz w:val="24"/>
          <w:szCs w:val="24"/>
        </w:rPr>
        <w:fldChar w:fldCharType="separate"/>
      </w:r>
      <w:r>
        <w:rPr>
          <w:rFonts w:ascii="Times New Roman" w:hAnsi="Times New Roman"/>
          <w:color w:val="EE0000"/>
          <w:sz w:val="24"/>
          <w:szCs w:val="24"/>
        </w:rPr>
        <w:t>[33]</w:t>
      </w:r>
      <w:r>
        <w:rPr>
          <w:rFonts w:ascii="Times New Roman" w:hAnsi="Times New Roman"/>
          <w:color w:val="EE0000"/>
          <w:sz w:val="24"/>
          <w:szCs w:val="24"/>
        </w:rPr>
        <w:fldChar w:fldCharType="end"/>
      </w:r>
      <w:r>
        <w:rPr>
          <w:rFonts w:ascii="Times New Roman" w:hAnsi="Times New Roman"/>
          <w:color w:val="EE0000"/>
          <w:sz w:val="24"/>
          <w:szCs w:val="24"/>
        </w:rPr>
        <w:t xml:space="preserve">. For instance, the correlation between EGFR mutations and specific ADRs suggests that genetic profiling could inform personalized treatment strategies, allowing clinicians to better anticipate and manage potential toxicities. </w:t>
      </w:r>
      <w:bookmarkEnd w:id="37"/>
      <w:r>
        <w:rPr>
          <w:rFonts w:ascii="Times New Roman" w:hAnsi="Times New Roman"/>
          <w:color w:val="EE0000"/>
          <w:sz w:val="24"/>
          <w:szCs w:val="24"/>
        </w:rPr>
        <w:t>This highlights the importance of pharmacogenomic testing in optimizing therapy with EGFR inhibitors.</w:t>
      </w:r>
    </w:p>
    <w:p w14:paraId="6AD3184C">
      <w:pPr>
        <w:rPr>
          <w:rFonts w:ascii="Times New Roman" w:hAnsi="Times New Roman"/>
          <w:color w:val="EE0000"/>
          <w:sz w:val="24"/>
          <w:szCs w:val="24"/>
        </w:rPr>
      </w:pPr>
    </w:p>
    <w:p w14:paraId="34F23BC0">
      <w:pPr>
        <w:rPr>
          <w:rFonts w:ascii="Times New Roman" w:hAnsi="Times New Roman"/>
          <w:color w:val="EE0000"/>
          <w:sz w:val="24"/>
          <w:szCs w:val="24"/>
        </w:rPr>
      </w:pPr>
      <w:r>
        <w:rPr>
          <w:rFonts w:ascii="Times New Roman" w:hAnsi="Times New Roman"/>
          <w:color w:val="EE0000"/>
          <w:sz w:val="24"/>
          <w:szCs w:val="24"/>
        </w:rPr>
        <w:t>Moreover, the identification of unique ADRs, such as superior vena caval occlusion, underscores the need for a more comprehensive understanding of the drug's pharmacodynamics and pharmacokinetics. The mechanisms underlying such rare but serious events may involve complex interactions between erlotinib and other medications or underlying patient conditions, warranting further exploration.</w:t>
      </w:r>
    </w:p>
    <w:p w14:paraId="6FA6BA03">
      <w:pPr>
        <w:rPr>
          <w:rFonts w:ascii="Times New Roman" w:hAnsi="Times New Roman"/>
          <w:color w:val="EE0000"/>
          <w:sz w:val="24"/>
          <w:szCs w:val="24"/>
        </w:rPr>
      </w:pPr>
    </w:p>
    <w:p w14:paraId="4E0772A0">
      <w:pPr>
        <w:rPr>
          <w:rFonts w:ascii="Times New Roman" w:hAnsi="Times New Roman"/>
          <w:color w:val="EE0000"/>
          <w:sz w:val="24"/>
          <w:szCs w:val="24"/>
        </w:rPr>
      </w:pPr>
      <w:r>
        <w:rPr>
          <w:rFonts w:ascii="Times New Roman" w:hAnsi="Times New Roman"/>
          <w:color w:val="EE0000"/>
          <w:sz w:val="24"/>
          <w:szCs w:val="24"/>
        </w:rPr>
        <w:t>The analysis of open-access comprehensive data sources is a viable method for detecting potential signals, with the FAERS database recognized as one of the largest and most detailed sources of pharmacovigilance data. However, this scientific research is not without limitations. On one hand, the FAERS database contains instances of partially missing information and duplicate entries. We manually verified and eliminated some of these duplications. Moreover, the values derived from the four algorithms—ROR, PRR, BCPNN, and EBGM—do not imply a causal risk of AEs in clinical practice; rather, they indicate correlation and association. The FDA does not mandate establishing a definitive causal relationship between drugs and events. Consequently, the values generated by the four methods we employed serve only as safety signals rather than indicators of actual risk. On the other hand, FAERS post-marketing data cannot accurately determine the true incidence of an AE. Additionally, many potential complications, such as malignancy and disease progression, may occur independently over time, warranting further investigation, particularly when the number of cases involved is relatively small. Despite these limitations, the analytical results can provide valuable references for healthcare professionals to closely monitor patients administered these agents.</w:t>
      </w:r>
    </w:p>
    <w:bookmarkEnd w:id="31"/>
    <w:bookmarkEnd w:id="32"/>
    <w:p w14:paraId="72A77446">
      <w:pPr>
        <w:rPr>
          <w:rFonts w:ascii="Times New Roman" w:hAnsi="Times New Roman"/>
          <w:color w:val="0000FF"/>
          <w:sz w:val="24"/>
          <w:szCs w:val="24"/>
        </w:rPr>
      </w:pPr>
      <w:bookmarkStart w:id="39" w:name="OLE_LINK25"/>
    </w:p>
    <w:bookmarkEnd w:id="33"/>
    <w:bookmarkEnd w:id="34"/>
    <w:bookmarkEnd w:id="39"/>
    <w:p w14:paraId="206DE035">
      <w:pPr>
        <w:rPr>
          <w:rFonts w:ascii="Times New Roman" w:hAnsi="Times New Roman"/>
          <w:b/>
          <w:bCs/>
          <w:color w:val="000000"/>
          <w:sz w:val="24"/>
          <w:szCs w:val="24"/>
        </w:rPr>
      </w:pPr>
      <w:r>
        <w:rPr>
          <w:rFonts w:hint="eastAsia" w:ascii="Times New Roman" w:hAnsi="Times New Roman"/>
          <w:b/>
          <w:bCs/>
          <w:color w:val="000000"/>
          <w:sz w:val="24"/>
          <w:szCs w:val="24"/>
        </w:rPr>
        <w:t>Conclusion</w:t>
      </w:r>
    </w:p>
    <w:p w14:paraId="1528D12F">
      <w:pPr>
        <w:rPr>
          <w:rFonts w:hint="eastAsia" w:ascii="Times New Roman Regular" w:hAnsi="Times New Roman Regular"/>
          <w:sz w:val="24"/>
          <w:szCs w:val="24"/>
          <w:lang w:val="en-US" w:eastAsia="zh-CN"/>
        </w:rPr>
      </w:pPr>
      <w:r>
        <w:rPr>
          <w:rFonts w:hint="eastAsia" w:ascii="Times New Roman Regular" w:hAnsi="Times New Roman Regular"/>
          <w:sz w:val="24"/>
          <w:szCs w:val="24"/>
          <w:lang w:val="en-US" w:eastAsia="zh-CN"/>
        </w:rPr>
        <w:t>In this study, potential new and unexpected adverse drug reaction (ADR) signals associated with erlotinib were identified, underscoring the necessity of further prospective clinical research to confirm their causal relationship. These findings offer valuable insights for enhancing adverse event (AE) signal detection in pharmacovigilance practice.</w:t>
      </w:r>
    </w:p>
    <w:p w14:paraId="323F03E8">
      <w:pPr>
        <w:rPr>
          <w:rFonts w:ascii="Times New Roman Bold" w:hAnsi="Times New Roman Bold" w:cs="Times New Roman Bold"/>
          <w:b/>
          <w:bCs/>
          <w:color w:val="000000"/>
          <w:sz w:val="28"/>
          <w:szCs w:val="28"/>
        </w:rPr>
      </w:pPr>
      <w:r>
        <w:rPr>
          <w:rFonts w:ascii="Times New Roman Bold" w:hAnsi="Times New Roman Bold" w:cs="Times New Roman Bold"/>
          <w:b/>
          <w:bCs/>
          <w:color w:val="000000"/>
          <w:sz w:val="28"/>
          <w:szCs w:val="28"/>
        </w:rPr>
        <w:t xml:space="preserve"> </w:t>
      </w:r>
    </w:p>
    <w:p w14:paraId="3685AD07">
      <w:pPr>
        <w:rPr>
          <w:rFonts w:ascii="Times New Roman Bold" w:hAnsi="Times New Roman Bold" w:cs="Times New Roman Bold"/>
          <w:b/>
          <w:bCs/>
          <w:sz w:val="28"/>
          <w:szCs w:val="28"/>
        </w:rPr>
      </w:pPr>
      <w:r>
        <w:rPr>
          <w:rFonts w:ascii="Times New Roman Bold" w:hAnsi="Times New Roman Bold" w:cs="Times New Roman Bold"/>
          <w:b/>
          <w:bCs/>
          <w:sz w:val="28"/>
          <w:szCs w:val="28"/>
        </w:rPr>
        <w:t>Acknowledgments</w:t>
      </w:r>
    </w:p>
    <w:p w14:paraId="414BC5E7">
      <w:pPr>
        <w:rPr>
          <w:rFonts w:ascii="Times New Roman" w:hAnsi="Times New Roman"/>
          <w:sz w:val="24"/>
          <w:szCs w:val="24"/>
        </w:rPr>
      </w:pPr>
      <w:r>
        <w:rPr>
          <w:rFonts w:ascii="Times New Roman" w:hAnsi="Times New Roman"/>
          <w:sz w:val="24"/>
          <w:szCs w:val="24"/>
        </w:rPr>
        <w:t>This study was performed using the FDA Adverse Event Reporting System (FAERS) source that was provided by the FDA. The information, results, or interpretation of the current study do not represent any opinion of the FDA.</w:t>
      </w:r>
    </w:p>
    <w:p w14:paraId="17FFDB6B">
      <w:pPr>
        <w:rPr>
          <w:rFonts w:ascii="Times New Roman" w:hAnsi="Times New Roman"/>
          <w:sz w:val="24"/>
          <w:szCs w:val="24"/>
        </w:rPr>
      </w:pPr>
    </w:p>
    <w:p w14:paraId="428C72F4">
      <w:pPr>
        <w:rPr>
          <w:rFonts w:ascii="Times New Roman Bold" w:hAnsi="Times New Roman Bold" w:cs="Times New Roman Bold"/>
          <w:b/>
          <w:bCs/>
          <w:sz w:val="28"/>
          <w:szCs w:val="28"/>
        </w:rPr>
      </w:pPr>
      <w:r>
        <w:rPr>
          <w:rFonts w:ascii="Times New Roman Bold" w:hAnsi="Times New Roman Bold" w:cs="Times New Roman Bold"/>
          <w:b/>
          <w:bCs/>
          <w:sz w:val="28"/>
          <w:szCs w:val="28"/>
        </w:rPr>
        <w:t>Author contribution</w:t>
      </w:r>
    </w:p>
    <w:p w14:paraId="59437055">
      <w:pPr>
        <w:rPr>
          <w:rFonts w:hint="eastAsia" w:ascii="Times New Roman" w:hAnsi="Times New Roman"/>
          <w:sz w:val="24"/>
          <w:szCs w:val="24"/>
          <w:lang w:val="en-US" w:eastAsia="zh-CN"/>
        </w:rPr>
      </w:pPr>
      <w:r>
        <w:rPr>
          <w:rFonts w:hint="eastAsia" w:ascii="Times New Roman" w:hAnsi="Times New Roman"/>
          <w:sz w:val="24"/>
          <w:szCs w:val="24"/>
          <w:lang w:val="en-US" w:eastAsia="zh-CN"/>
        </w:rPr>
        <w:t xml:space="preserve">XHZ and YW were involved in the conception and design of the study. YW contributed to the analysis and interpretation of the data. YW was involved in drafting the manuscript and revising it critically for important intellectual content. Each author has given final approval of the version to be published. </w:t>
      </w:r>
    </w:p>
    <w:p w14:paraId="46BD8CA7">
      <w:pPr>
        <w:rPr>
          <w:rFonts w:hint="eastAsia" w:ascii="Times New Roman Bold" w:hAnsi="Times New Roman Bold" w:cs="Times New Roman Bold"/>
          <w:b/>
          <w:bCs/>
          <w:sz w:val="28"/>
          <w:szCs w:val="28"/>
          <w:lang w:val="en-US" w:eastAsia="zh-CN"/>
        </w:rPr>
      </w:pPr>
      <w:r>
        <w:rPr>
          <w:rFonts w:hint="eastAsia" w:ascii="Times New Roman Bold" w:hAnsi="Times New Roman Bold" w:cs="Times New Roman Bold"/>
          <w:b/>
          <w:bCs/>
          <w:sz w:val="28"/>
          <w:szCs w:val="28"/>
          <w:lang w:val="en-US" w:eastAsia="zh-CN"/>
        </w:rPr>
        <w:t>ORCID</w:t>
      </w:r>
    </w:p>
    <w:p w14:paraId="2FC7D44C">
      <w:pPr>
        <w:keepNext w:val="0"/>
        <w:keepLines w:val="0"/>
        <w:widowControl/>
        <w:suppressLineNumbers w:val="0"/>
        <w:jc w:val="left"/>
      </w:pPr>
      <w:r>
        <w:rPr>
          <w:rFonts w:hint="default" w:ascii="Times New Roman" w:hAnsi="Times New Roman" w:eastAsia="宋体" w:cs="Times New Roman"/>
          <w:i w:val="0"/>
          <w:iCs w:val="0"/>
          <w:caps w:val="0"/>
          <w:color w:val="000000"/>
          <w:spacing w:val="0"/>
          <w:kern w:val="0"/>
          <w:sz w:val="26"/>
          <w:szCs w:val="26"/>
          <w:u w:val="none"/>
          <w:shd w:val="clear" w:fill="FFFFFF"/>
          <w:lang w:val="en-US" w:eastAsia="zh-CN" w:bidi="ar"/>
        </w:rPr>
        <w:t>Yan Wang: </w:t>
      </w:r>
      <w:r>
        <w:rPr>
          <w:rFonts w:hint="default" w:ascii="Times New Roman" w:hAnsi="Times New Roman" w:eastAsia="宋体" w:cs="Times New Roman"/>
          <w:i w:val="0"/>
          <w:iCs w:val="0"/>
          <w:caps w:val="0"/>
          <w:color w:val="005A8C"/>
          <w:spacing w:val="0"/>
          <w:kern w:val="0"/>
          <w:sz w:val="26"/>
          <w:szCs w:val="26"/>
          <w:u w:val="none"/>
          <w:lang w:val="en-US" w:eastAsia="zh-CN" w:bidi="ar"/>
        </w:rPr>
        <w:fldChar w:fldCharType="begin"/>
      </w:r>
      <w:r>
        <w:rPr>
          <w:rFonts w:hint="default" w:ascii="Times New Roman" w:hAnsi="Times New Roman" w:eastAsia="宋体" w:cs="Times New Roman"/>
          <w:i w:val="0"/>
          <w:iCs w:val="0"/>
          <w:caps w:val="0"/>
          <w:color w:val="005A8C"/>
          <w:spacing w:val="0"/>
          <w:kern w:val="0"/>
          <w:sz w:val="26"/>
          <w:szCs w:val="26"/>
          <w:u w:val="none"/>
          <w:lang w:val="en-US" w:eastAsia="zh-CN" w:bidi="ar"/>
        </w:rPr>
        <w:instrText xml:space="preserve"> HYPERLINK "https://orcid.org/0000-0002-6829-5779" </w:instrText>
      </w:r>
      <w:r>
        <w:rPr>
          <w:rFonts w:hint="default" w:ascii="Times New Roman" w:hAnsi="Times New Roman" w:eastAsia="宋体" w:cs="Times New Roman"/>
          <w:i w:val="0"/>
          <w:iCs w:val="0"/>
          <w:caps w:val="0"/>
          <w:color w:val="005A8C"/>
          <w:spacing w:val="0"/>
          <w:kern w:val="0"/>
          <w:sz w:val="26"/>
          <w:szCs w:val="26"/>
          <w:u w:val="none"/>
          <w:lang w:val="en-US" w:eastAsia="zh-CN" w:bidi="ar"/>
        </w:rPr>
        <w:fldChar w:fldCharType="separate"/>
      </w:r>
      <w:r>
        <w:rPr>
          <w:rStyle w:val="7"/>
          <w:rFonts w:hint="default" w:ascii="Times New Roman" w:hAnsi="Times New Roman" w:eastAsia="宋体" w:cs="Times New Roman"/>
          <w:i w:val="0"/>
          <w:iCs w:val="0"/>
          <w:caps w:val="0"/>
          <w:color w:val="005A8C"/>
          <w:spacing w:val="0"/>
          <w:sz w:val="26"/>
          <w:szCs w:val="26"/>
          <w:u w:val="none"/>
        </w:rPr>
        <w:t>https://orcid.org/0000-0002-6829-5779</w:t>
      </w:r>
      <w:r>
        <w:rPr>
          <w:rFonts w:hint="default" w:ascii="Times New Roman" w:hAnsi="Times New Roman" w:eastAsia="宋体" w:cs="Times New Roman"/>
          <w:i w:val="0"/>
          <w:iCs w:val="0"/>
          <w:caps w:val="0"/>
          <w:color w:val="005A8C"/>
          <w:spacing w:val="0"/>
          <w:kern w:val="0"/>
          <w:sz w:val="26"/>
          <w:szCs w:val="26"/>
          <w:u w:val="none"/>
          <w:lang w:val="en-US" w:eastAsia="zh-CN" w:bidi="ar"/>
        </w:rPr>
        <w:fldChar w:fldCharType="end"/>
      </w:r>
    </w:p>
    <w:p w14:paraId="3DC7F0A1">
      <w:pPr>
        <w:rPr>
          <w:rFonts w:hint="eastAsia" w:ascii="Times New Roman" w:hAnsi="Times New Roman"/>
          <w:sz w:val="24"/>
          <w:szCs w:val="24"/>
          <w:lang w:val="en-US" w:eastAsia="zh-CN"/>
        </w:rPr>
      </w:pPr>
    </w:p>
    <w:p w14:paraId="18B106F0">
      <w:pPr>
        <w:rPr>
          <w:rFonts w:hint="default" w:ascii="Times New Roman Bold" w:hAnsi="Times New Roman Bold" w:cs="Times New Roman Bold"/>
          <w:b/>
          <w:bCs/>
          <w:sz w:val="28"/>
          <w:szCs w:val="28"/>
          <w:lang w:val="en-US" w:eastAsia="zh-CN"/>
        </w:rPr>
      </w:pPr>
      <w:r>
        <w:rPr>
          <w:rFonts w:hint="eastAsia" w:ascii="Times New Roman Bold" w:hAnsi="Times New Roman Bold" w:cs="Times New Roman Bold"/>
          <w:b/>
          <w:bCs/>
          <w:sz w:val="28"/>
          <w:szCs w:val="28"/>
          <w:lang w:val="en-US" w:eastAsia="zh-CN"/>
        </w:rPr>
        <w:t>Conflict of Interest</w:t>
      </w:r>
    </w:p>
    <w:p w14:paraId="499EAE61">
      <w:pPr>
        <w:keepNext w:val="0"/>
        <w:keepLines w:val="0"/>
        <w:widowControl/>
        <w:suppressLineNumbers w:val="0"/>
        <w:jc w:val="left"/>
      </w:pPr>
      <w:r>
        <w:rPr>
          <w:rFonts w:ascii="Times New Roman" w:hAnsi="Times New Roman"/>
          <w:sz w:val="24"/>
          <w:szCs w:val="24"/>
        </w:rPr>
        <w:t xml:space="preserve"> </w:t>
      </w:r>
      <w:r>
        <w:rPr>
          <w:rFonts w:hint="default" w:ascii="Times New Roman" w:hAnsi="Times New Roman" w:eastAsia="宋体" w:cs="Times New Roman"/>
          <w:i w:val="0"/>
          <w:iCs w:val="0"/>
          <w:caps w:val="0"/>
          <w:color w:val="000000"/>
          <w:spacing w:val="0"/>
          <w:kern w:val="0"/>
          <w:sz w:val="26"/>
          <w:szCs w:val="26"/>
          <w:u w:val="none"/>
          <w:shd w:val="clear" w:fill="FFFFFF"/>
          <w:lang w:val="en-US" w:eastAsia="zh-CN" w:bidi="ar"/>
        </w:rPr>
        <w:t>The authors declare that they have no conflicts of interest.</w:t>
      </w:r>
    </w:p>
    <w:p w14:paraId="12F3F906">
      <w:pPr>
        <w:rPr>
          <w:rFonts w:ascii="Times New Roman" w:hAnsi="Times New Roman"/>
          <w:sz w:val="24"/>
          <w:szCs w:val="24"/>
        </w:rPr>
      </w:pPr>
    </w:p>
    <w:p w14:paraId="3EE1CA28">
      <w:pPr>
        <w:rPr>
          <w:rFonts w:hint="eastAsia" w:ascii="Times New Roman Bold" w:hAnsi="Times New Roman Bold" w:cs="Times New Roman Bold"/>
          <w:b/>
          <w:bCs/>
          <w:sz w:val="28"/>
          <w:szCs w:val="28"/>
          <w:lang w:val="en-US" w:eastAsia="zh-CN"/>
        </w:rPr>
      </w:pPr>
      <w:r>
        <w:rPr>
          <w:rFonts w:hint="eastAsia" w:ascii="Times New Roman Bold" w:hAnsi="Times New Roman Bold" w:cs="Times New Roman Bold"/>
          <w:b/>
          <w:bCs/>
          <w:sz w:val="28"/>
          <w:szCs w:val="28"/>
          <w:lang w:val="en-US" w:eastAsia="zh-CN"/>
        </w:rPr>
        <w:t>Consent for Publication</w:t>
      </w:r>
    </w:p>
    <w:p w14:paraId="15229B33">
      <w:pPr>
        <w:keepNext w:val="0"/>
        <w:keepLines w:val="0"/>
        <w:widowControl/>
        <w:suppressLineNumbers w:val="0"/>
        <w:jc w:val="left"/>
        <w:rPr>
          <w:rFonts w:hint="default" w:ascii="Times New Roman Bold" w:hAnsi="Times New Roman Bold" w:cs="Times New Roman Bold"/>
          <w:b/>
          <w:bCs/>
          <w:sz w:val="28"/>
          <w:szCs w:val="28"/>
          <w:lang w:val="en-US" w:eastAsia="zh-CN"/>
        </w:rPr>
      </w:pPr>
      <w:r>
        <w:rPr>
          <w:rFonts w:hint="default" w:ascii="Times New Roman" w:hAnsi="Times New Roman" w:eastAsia="宋体" w:cs="Times New Roman"/>
          <w:i w:val="0"/>
          <w:iCs w:val="0"/>
          <w:caps w:val="0"/>
          <w:color w:val="000000"/>
          <w:spacing w:val="0"/>
          <w:kern w:val="0"/>
          <w:sz w:val="26"/>
          <w:szCs w:val="26"/>
          <w:u w:val="none"/>
          <w:shd w:val="clear" w:fill="FFFFFF"/>
          <w:lang w:val="en-US" w:eastAsia="zh-CN" w:bidi="ar"/>
        </w:rPr>
        <w:t>The authors confirm that the work described has not been published before.</w:t>
      </w:r>
    </w:p>
    <w:p w14:paraId="77152CCE">
      <w:pPr>
        <w:rPr>
          <w:rFonts w:ascii="Times New Roman Bold" w:hAnsi="Times New Roman Bold" w:cs="Times New Roman Bold"/>
          <w:b/>
          <w:bCs/>
          <w:sz w:val="28"/>
          <w:szCs w:val="28"/>
        </w:rPr>
      </w:pPr>
      <w:r>
        <w:rPr>
          <w:rFonts w:ascii="Times New Roman Bold" w:hAnsi="Times New Roman Bold" w:cs="Times New Roman Bold"/>
          <w:b/>
          <w:bCs/>
          <w:sz w:val="28"/>
          <w:szCs w:val="28"/>
        </w:rPr>
        <w:t>Data Sharing Statement</w:t>
      </w:r>
    </w:p>
    <w:p w14:paraId="0264D798">
      <w:pPr>
        <w:rPr>
          <w:rFonts w:ascii="Times New Roman" w:hAnsi="Times New Roman"/>
          <w:sz w:val="24"/>
          <w:szCs w:val="24"/>
        </w:rPr>
      </w:pPr>
      <w:r>
        <w:rPr>
          <w:rFonts w:ascii="Times New Roman" w:hAnsi="Times New Roman"/>
          <w:sz w:val="24"/>
          <w:szCs w:val="24"/>
        </w:rPr>
        <w:t>The data included in this study are available on the request from the corresponding author or the first author.</w:t>
      </w:r>
    </w:p>
    <w:p w14:paraId="71AFA653">
      <w:pPr>
        <w:rPr>
          <w:rFonts w:ascii="Times New Roman Bold" w:hAnsi="Times New Roman Bold" w:cs="Times New Roman Bold"/>
          <w:b/>
          <w:bCs/>
          <w:sz w:val="28"/>
          <w:szCs w:val="28"/>
        </w:rPr>
      </w:pPr>
      <w:r>
        <w:rPr>
          <w:rFonts w:ascii="Times New Roman Bold" w:hAnsi="Times New Roman Bold" w:cs="Times New Roman Bold"/>
          <w:b/>
          <w:bCs/>
          <w:sz w:val="28"/>
          <w:szCs w:val="28"/>
        </w:rPr>
        <w:t xml:space="preserve"> </w:t>
      </w:r>
    </w:p>
    <w:p w14:paraId="7A8CC2A0">
      <w:pPr>
        <w:rPr>
          <w:rFonts w:ascii="Times New Roman Bold" w:hAnsi="Times New Roman Bold" w:cs="Times New Roman Bold"/>
          <w:b/>
          <w:bCs/>
          <w:sz w:val="28"/>
          <w:szCs w:val="28"/>
        </w:rPr>
      </w:pPr>
      <w:r>
        <w:rPr>
          <w:rFonts w:ascii="Times New Roman Bold" w:hAnsi="Times New Roman Bold" w:cs="Times New Roman Bold"/>
          <w:b/>
          <w:bCs/>
          <w:sz w:val="28"/>
          <w:szCs w:val="28"/>
        </w:rPr>
        <w:t>Funding</w:t>
      </w:r>
    </w:p>
    <w:p w14:paraId="05136A4A">
      <w:pPr>
        <w:rPr>
          <w:rFonts w:ascii="Times New Roman" w:hAnsi="Times New Roman"/>
          <w:sz w:val="24"/>
          <w:szCs w:val="24"/>
        </w:rPr>
      </w:pPr>
      <w:r>
        <w:rPr>
          <w:rFonts w:ascii="Times New Roman" w:hAnsi="Times New Roman"/>
          <w:sz w:val="24"/>
          <w:szCs w:val="24"/>
        </w:rPr>
        <w:t>Not applicable.</w:t>
      </w:r>
    </w:p>
    <w:p w14:paraId="54E15D97">
      <w:pPr>
        <w:rPr>
          <w:rFonts w:ascii="Times New Roman Bold" w:hAnsi="Times New Roman Bold" w:cs="Times New Roman Bold"/>
          <w:b/>
          <w:bCs/>
          <w:sz w:val="28"/>
          <w:szCs w:val="28"/>
        </w:rPr>
      </w:pPr>
      <w:r>
        <w:rPr>
          <w:rFonts w:ascii="Times New Roman Bold" w:hAnsi="Times New Roman Bold" w:cs="Times New Roman Bold"/>
          <w:b/>
          <w:bCs/>
          <w:sz w:val="28"/>
          <w:szCs w:val="28"/>
        </w:rPr>
        <w:t xml:space="preserve"> </w:t>
      </w:r>
    </w:p>
    <w:p w14:paraId="64D05959">
      <w:pPr>
        <w:rPr>
          <w:rFonts w:hint="default" w:ascii="Times New Roman Bold" w:hAnsi="Times New Roman Bold" w:eastAsia="宋体" w:cs="Times New Roman Bold"/>
          <w:b/>
          <w:bCs/>
          <w:sz w:val="28"/>
          <w:szCs w:val="28"/>
          <w:lang w:val="en-US" w:eastAsia="zh-CN"/>
        </w:rPr>
      </w:pPr>
      <w:r>
        <w:rPr>
          <w:rFonts w:ascii="Times New Roman Bold" w:hAnsi="Times New Roman Bold" w:cs="Times New Roman Bold"/>
          <w:b/>
          <w:bCs/>
          <w:sz w:val="28"/>
          <w:szCs w:val="28"/>
        </w:rPr>
        <w:t>Ethics</w:t>
      </w:r>
      <w:r>
        <w:rPr>
          <w:rFonts w:hint="eastAsia" w:ascii="Times New Roman Bold" w:hAnsi="Times New Roman Bold" w:cs="Times New Roman Bold"/>
          <w:b/>
          <w:bCs/>
          <w:sz w:val="28"/>
          <w:szCs w:val="28"/>
          <w:lang w:val="en-US" w:eastAsia="zh-CN"/>
        </w:rPr>
        <w:t xml:space="preserve"> Statements</w:t>
      </w:r>
    </w:p>
    <w:p w14:paraId="28008FF6">
      <w:pPr>
        <w:rPr>
          <w:rFonts w:ascii="Times New Roman" w:hAnsi="Times New Roman"/>
          <w:sz w:val="24"/>
          <w:szCs w:val="24"/>
        </w:rPr>
      </w:pPr>
      <w:r>
        <w:rPr>
          <w:rFonts w:hint="eastAsia" w:ascii="Times New Roman" w:hAnsi="Times New Roman"/>
          <w:sz w:val="24"/>
          <w:szCs w:val="24"/>
          <w:lang w:val="en-US" w:eastAsia="zh-CN"/>
        </w:rPr>
        <w:t>Not applicable</w:t>
      </w:r>
      <w:r>
        <w:rPr>
          <w:rFonts w:ascii="Times New Roman" w:hAnsi="Times New Roman"/>
          <w:sz w:val="24"/>
          <w:szCs w:val="24"/>
        </w:rPr>
        <w:t>.</w:t>
      </w:r>
    </w:p>
    <w:p w14:paraId="389FA809">
      <w:pPr>
        <w:rPr>
          <w:rFonts w:ascii="Times New Roman Bold" w:hAnsi="Times New Roman Bold" w:cs="Times New Roman Bold"/>
          <w:b/>
          <w:bCs/>
          <w:sz w:val="28"/>
          <w:szCs w:val="28"/>
        </w:rPr>
      </w:pPr>
      <w:r>
        <w:rPr>
          <w:rFonts w:ascii="Times New Roman Bold" w:hAnsi="Times New Roman Bold" w:cs="Times New Roman Bold"/>
          <w:b/>
          <w:bCs/>
          <w:sz w:val="28"/>
          <w:szCs w:val="28"/>
        </w:rPr>
        <w:t xml:space="preserve"> </w:t>
      </w:r>
    </w:p>
    <w:p w14:paraId="5FFE28AD">
      <w:pPr>
        <w:rPr>
          <w:rFonts w:ascii="Times New Roman Bold" w:hAnsi="Times New Roman Bold" w:cs="Times New Roman Bold"/>
          <w:b/>
          <w:bCs/>
          <w:sz w:val="28"/>
          <w:szCs w:val="28"/>
        </w:rPr>
      </w:pPr>
      <w:r>
        <w:rPr>
          <w:rFonts w:ascii="Times New Roman Bold" w:hAnsi="Times New Roman Bold" w:cs="Times New Roman Bold"/>
          <w:b/>
          <w:bCs/>
          <w:sz w:val="28"/>
          <w:szCs w:val="28"/>
        </w:rPr>
        <w:t xml:space="preserve"> </w:t>
      </w:r>
    </w:p>
    <w:p w14:paraId="346B52A9">
      <w:pPr>
        <w:rPr>
          <w:rFonts w:ascii="Times New Roman Bold" w:hAnsi="Times New Roman Bold" w:cs="Times New Roman Bold"/>
          <w:b/>
          <w:bCs/>
          <w:sz w:val="28"/>
          <w:szCs w:val="28"/>
        </w:rPr>
      </w:pPr>
      <w:r>
        <w:rPr>
          <w:rFonts w:ascii="Times New Roman Bold" w:hAnsi="Times New Roman Bold" w:cs="Times New Roman Bold"/>
          <w:b/>
          <w:bCs/>
          <w:sz w:val="28"/>
          <w:szCs w:val="28"/>
        </w:rPr>
        <w:t>Table Legends</w:t>
      </w:r>
    </w:p>
    <w:p w14:paraId="144EE0C2">
      <w:pPr>
        <w:rPr>
          <w:rFonts w:ascii="Times New Roman" w:hAnsi="Times New Roman"/>
          <w:sz w:val="24"/>
          <w:szCs w:val="24"/>
        </w:rPr>
      </w:pPr>
      <w:r>
        <w:rPr>
          <w:rFonts w:ascii="Times New Roman" w:hAnsi="Times New Roman"/>
          <w:sz w:val="24"/>
          <w:szCs w:val="24"/>
        </w:rPr>
        <w:t>Table 1 Two-dimensional matrix.</w:t>
      </w:r>
    </w:p>
    <w:p w14:paraId="31113145">
      <w:pPr>
        <w:rPr>
          <w:rFonts w:ascii="Times New Roman" w:hAnsi="Times New Roman"/>
          <w:sz w:val="24"/>
          <w:szCs w:val="24"/>
        </w:rPr>
      </w:pPr>
      <w:r>
        <w:rPr>
          <w:rFonts w:ascii="Times New Roman" w:hAnsi="Times New Roman"/>
          <w:sz w:val="24"/>
          <w:szCs w:val="24"/>
        </w:rPr>
        <w:t>Table 2 The detailed characters of reports associated with erlotinib/tarceva from the 2005 Q1 to the 2021 Q4.</w:t>
      </w:r>
    </w:p>
    <w:p w14:paraId="7B9BDFC8">
      <w:r>
        <w:rPr>
          <w:rFonts w:ascii="Times New Roman" w:hAnsi="Times New Roman"/>
          <w:sz w:val="24"/>
          <w:szCs w:val="24"/>
        </w:rPr>
        <w:t>Table 3 Signal strength of AEs of erlotinib at the System Organ Class (SOC) level in FDA Adverse Event Reporting System (FAERS) source (Terms marked with # indicate that AEs are in erlotinib’s label).</w:t>
      </w:r>
    </w:p>
    <w:p w14:paraId="25E4F2F2">
      <w:pPr>
        <w:jc w:val="left"/>
        <w:rPr>
          <w:rFonts w:ascii="Times New Roman" w:hAnsi="Times New Roman"/>
          <w:sz w:val="24"/>
          <w:szCs w:val="24"/>
        </w:rPr>
      </w:pPr>
      <w:r>
        <w:rPr>
          <w:rFonts w:ascii="Times New Roman" w:hAnsi="Times New Roman"/>
          <w:sz w:val="24"/>
          <w:szCs w:val="24"/>
        </w:rPr>
        <w:t>Table 4</w:t>
      </w:r>
      <w:r>
        <w:rPr>
          <w:rFonts w:ascii="Times New Roman Bold" w:hAnsi="Times New Roman Bold" w:cs="Times New Roman Bold"/>
          <w:b/>
          <w:bCs/>
          <w:sz w:val="24"/>
          <w:szCs w:val="24"/>
        </w:rPr>
        <w:t xml:space="preserve"> </w:t>
      </w:r>
      <w:r>
        <w:rPr>
          <w:rFonts w:ascii="Times New Roman Regular" w:hAnsi="Times New Roman Regular"/>
          <w:sz w:val="24"/>
          <w:szCs w:val="24"/>
        </w:rPr>
        <w:t>The top 40 s</w:t>
      </w:r>
      <w:r>
        <w:rPr>
          <w:rFonts w:hint="eastAsia" w:ascii="Times New Roman" w:hAnsi="Times New Roman"/>
          <w:sz w:val="24"/>
          <w:szCs w:val="24"/>
        </w:rPr>
        <w:t>ignal</w:t>
      </w:r>
      <w:r>
        <w:rPr>
          <w:rFonts w:ascii="Times New Roman" w:hAnsi="Times New Roman"/>
          <w:sz w:val="24"/>
          <w:szCs w:val="24"/>
        </w:rPr>
        <w:t xml:space="preserve"> strength of AEs of </w:t>
      </w:r>
      <w:r>
        <w:rPr>
          <w:rFonts w:hint="eastAsia" w:ascii="Times New Roman" w:hAnsi="Times New Roman"/>
          <w:sz w:val="24"/>
          <w:szCs w:val="24"/>
        </w:rPr>
        <w:t>erlotinib</w:t>
      </w:r>
      <w:r>
        <w:rPr>
          <w:rFonts w:ascii="Times New Roman" w:hAnsi="Times New Roman"/>
          <w:sz w:val="24"/>
          <w:szCs w:val="24"/>
        </w:rPr>
        <w:t xml:space="preserve"> at preferred terms (PTs) level in FDA Adverse Event Reporting System (FAERS) source (Terms marked with # indicate that AEs are in erlotinib’s label).</w:t>
      </w:r>
    </w:p>
    <w:bookmarkEnd w:id="4"/>
    <w:bookmarkEnd w:id="5"/>
    <w:p w14:paraId="5B48E7FB">
      <w:pPr>
        <w:rPr>
          <w:rFonts w:ascii="Times New Roman" w:hAnsi="Times New Roman"/>
          <w:sz w:val="24"/>
          <w:szCs w:val="24"/>
        </w:rPr>
      </w:pPr>
      <w:r>
        <w:rPr>
          <w:rFonts w:ascii="Times New Roman" w:hAnsi="Times New Roman"/>
          <w:sz w:val="24"/>
          <w:szCs w:val="24"/>
        </w:rPr>
        <w:t xml:space="preserve"> </w:t>
      </w:r>
    </w:p>
    <w:p w14:paraId="16F87F9F">
      <w:pPr>
        <w:rPr>
          <w:rFonts w:ascii="Times New Roman Bold" w:hAnsi="Times New Roman Bold" w:cs="Times New Roman Bold"/>
          <w:b/>
          <w:bCs/>
          <w:sz w:val="28"/>
          <w:szCs w:val="28"/>
        </w:rPr>
      </w:pPr>
      <w:r>
        <w:rPr>
          <w:rFonts w:ascii="Times New Roman Bold" w:hAnsi="Times New Roman Bold" w:cs="Times New Roman Bold"/>
          <w:b/>
          <w:bCs/>
          <w:sz w:val="28"/>
          <w:szCs w:val="28"/>
        </w:rPr>
        <w:t xml:space="preserve"> </w:t>
      </w:r>
    </w:p>
    <w:p w14:paraId="5644BEC4">
      <w:pPr>
        <w:rPr>
          <w:rFonts w:ascii="Times New Roman" w:hAnsi="Times New Roman"/>
          <w:sz w:val="24"/>
          <w:szCs w:val="24"/>
        </w:rPr>
      </w:pPr>
      <w:r>
        <w:rPr>
          <w:rFonts w:ascii="Times New Roman" w:hAnsi="Times New Roman"/>
          <w:sz w:val="24"/>
          <w:szCs w:val="24"/>
        </w:rPr>
        <w:t xml:space="preserve"> </w:t>
      </w:r>
    </w:p>
    <w:p w14:paraId="26575466">
      <w:pPr>
        <w:rPr>
          <w:rFonts w:ascii="Times New Roman Bold" w:hAnsi="Times New Roman Bold" w:cs="Times New Roman Bold"/>
          <w:b/>
          <w:bCs/>
          <w:sz w:val="28"/>
          <w:szCs w:val="28"/>
        </w:rPr>
      </w:pPr>
      <w:r>
        <w:rPr>
          <w:rFonts w:ascii="Times New Roman" w:hAnsi="Times New Roman"/>
          <w:sz w:val="24"/>
          <w:szCs w:val="24"/>
        </w:rPr>
        <w:t xml:space="preserve">Table S1 All signal strength of AEs of erlotinib at the Preferred Terms level in the FAERS source (Terms marked with # indicate that AEs are in erlotinib’s label; </w:t>
      </w:r>
      <w:r>
        <w:rPr>
          <w:rFonts w:hint="eastAsia" w:ascii="Times New Roman" w:hAnsi="Times New Roman"/>
          <w:sz w:val="24"/>
          <w:szCs w:val="24"/>
        </w:rPr>
        <w:t>Term</w:t>
      </w:r>
      <w:r>
        <w:rPr>
          <w:rFonts w:ascii="Times New Roman" w:hAnsi="Times New Roman"/>
          <w:sz w:val="24"/>
          <w:szCs w:val="24"/>
        </w:rPr>
        <w:t xml:space="preserve"> marked with α indicate</w:t>
      </w:r>
      <w:r>
        <w:rPr>
          <w:rFonts w:hint="eastAsia" w:ascii="Times New Roman" w:hAnsi="Times New Roman"/>
          <w:sz w:val="24"/>
          <w:szCs w:val="24"/>
        </w:rPr>
        <w:t>s</w:t>
      </w:r>
      <w:r>
        <w:rPr>
          <w:rFonts w:ascii="Times New Roman" w:hAnsi="Times New Roman"/>
          <w:sz w:val="24"/>
          <w:szCs w:val="24"/>
        </w:rPr>
        <w:t xml:space="preserve"> that AEs is not mapped to the MedDRA).</w:t>
      </w:r>
      <w:r>
        <w:rPr>
          <w:rFonts w:ascii="Times New Roman Bold" w:hAnsi="Times New Roman Bold" w:cs="Times New Roman Bold"/>
          <w:b/>
          <w:bCs/>
          <w:sz w:val="28"/>
          <w:szCs w:val="28"/>
        </w:rPr>
        <w:t xml:space="preserve"> </w:t>
      </w:r>
    </w:p>
    <w:p w14:paraId="7F4D95CE">
      <w:pPr>
        <w:rPr>
          <w:rFonts w:ascii="Times New Roman Bold" w:hAnsi="Times New Roman Bold" w:cs="Times New Roman Bold"/>
          <w:b/>
          <w:bCs/>
          <w:sz w:val="28"/>
          <w:szCs w:val="28"/>
        </w:rPr>
      </w:pPr>
      <w:r>
        <w:rPr>
          <w:rFonts w:ascii="Times New Roman Bold" w:hAnsi="Times New Roman Bold" w:cs="Times New Roman Bold"/>
          <w:b/>
          <w:bCs/>
          <w:sz w:val="28"/>
          <w:szCs w:val="28"/>
        </w:rPr>
        <w:t xml:space="preserve"> </w:t>
      </w:r>
    </w:p>
    <w:p w14:paraId="5E790E59">
      <w:pPr>
        <w:spacing w:line="360" w:lineRule="auto"/>
        <w:rPr>
          <w:rFonts w:ascii="Times New Roman" w:hAnsi="Times New Roman"/>
        </w:rPr>
      </w:pPr>
      <w:r>
        <w:rPr>
          <w:rFonts w:ascii="Times New Roman" w:hAnsi="Times New Roman"/>
        </w:rPr>
        <w:t>Table 1 Two dimensional matrix.</w:t>
      </w:r>
    </w:p>
    <w:tbl>
      <w:tblPr>
        <w:tblStyle w:val="4"/>
        <w:tblW w:w="8359" w:type="dxa"/>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072"/>
        <w:gridCol w:w="3877"/>
        <w:gridCol w:w="2410"/>
      </w:tblGrid>
      <w:tr w14:paraId="58620C57">
        <w:tc>
          <w:tcPr>
            <w:tcW w:w="2072" w:type="dxa"/>
            <w:tcBorders>
              <w:top w:val="single" w:color="000000" w:sz="8" w:space="0"/>
              <w:left w:val="nil"/>
              <w:bottom w:val="single" w:color="000000" w:sz="8" w:space="0"/>
              <w:right w:val="nil"/>
            </w:tcBorders>
          </w:tcPr>
          <w:p w14:paraId="6528589A">
            <w:pPr>
              <w:spacing w:line="360" w:lineRule="auto"/>
              <w:rPr>
                <w:rFonts w:ascii="Times New Roman" w:hAnsi="Times New Roman"/>
                <w:kern w:val="0"/>
                <w:sz w:val="24"/>
                <w:szCs w:val="24"/>
              </w:rPr>
            </w:pPr>
          </w:p>
        </w:tc>
        <w:tc>
          <w:tcPr>
            <w:tcW w:w="3877" w:type="dxa"/>
            <w:tcBorders>
              <w:top w:val="single" w:color="000000" w:sz="8" w:space="0"/>
              <w:left w:val="nil"/>
              <w:bottom w:val="single" w:color="000000" w:sz="8" w:space="0"/>
              <w:right w:val="nil"/>
            </w:tcBorders>
          </w:tcPr>
          <w:p w14:paraId="57DBF7D7">
            <w:pPr>
              <w:spacing w:line="360" w:lineRule="auto"/>
              <w:jc w:val="center"/>
              <w:rPr>
                <w:rFonts w:ascii="Times New Roman" w:hAnsi="Times New Roman"/>
                <w:kern w:val="0"/>
                <w:sz w:val="24"/>
                <w:szCs w:val="24"/>
              </w:rPr>
            </w:pPr>
            <w:r>
              <w:rPr>
                <w:rFonts w:ascii="Times New Roman" w:hAnsi="Times New Roman"/>
                <w:kern w:val="0"/>
                <w:sz w:val="24"/>
                <w:szCs w:val="24"/>
              </w:rPr>
              <w:t>Target AEs</w:t>
            </w:r>
          </w:p>
        </w:tc>
        <w:tc>
          <w:tcPr>
            <w:tcW w:w="2410" w:type="dxa"/>
            <w:tcBorders>
              <w:top w:val="single" w:color="000000" w:sz="8" w:space="0"/>
              <w:left w:val="nil"/>
              <w:bottom w:val="single" w:color="000000" w:sz="8" w:space="0"/>
              <w:right w:val="nil"/>
            </w:tcBorders>
          </w:tcPr>
          <w:p w14:paraId="2CBFE286">
            <w:pPr>
              <w:spacing w:line="360" w:lineRule="auto"/>
              <w:jc w:val="center"/>
              <w:rPr>
                <w:rFonts w:ascii="Times New Roman" w:hAnsi="Times New Roman"/>
                <w:kern w:val="0"/>
                <w:sz w:val="24"/>
                <w:szCs w:val="24"/>
              </w:rPr>
            </w:pPr>
            <w:r>
              <w:rPr>
                <w:rFonts w:ascii="Times New Roman" w:hAnsi="Times New Roman"/>
                <w:kern w:val="0"/>
                <w:sz w:val="24"/>
                <w:szCs w:val="24"/>
              </w:rPr>
              <w:t>Non-target AEs</w:t>
            </w:r>
          </w:p>
        </w:tc>
      </w:tr>
      <w:tr w14:paraId="56F5AE19">
        <w:tc>
          <w:tcPr>
            <w:tcW w:w="2072" w:type="dxa"/>
            <w:tcBorders>
              <w:top w:val="single" w:color="000000" w:sz="8" w:space="0"/>
              <w:left w:val="nil"/>
              <w:bottom w:val="nil"/>
              <w:right w:val="nil"/>
            </w:tcBorders>
          </w:tcPr>
          <w:p w14:paraId="44804165">
            <w:pPr>
              <w:spacing w:line="360" w:lineRule="auto"/>
              <w:rPr>
                <w:rFonts w:ascii="Times New Roman" w:hAnsi="Times New Roman"/>
                <w:kern w:val="0"/>
                <w:sz w:val="24"/>
                <w:szCs w:val="24"/>
              </w:rPr>
            </w:pPr>
            <w:r>
              <w:rPr>
                <w:rFonts w:ascii="Times New Roman" w:hAnsi="Times New Roman"/>
                <w:kern w:val="0"/>
                <w:sz w:val="24"/>
                <w:szCs w:val="24"/>
              </w:rPr>
              <w:t>Erlotinib</w:t>
            </w:r>
          </w:p>
        </w:tc>
        <w:tc>
          <w:tcPr>
            <w:tcW w:w="3877" w:type="dxa"/>
            <w:tcBorders>
              <w:top w:val="single" w:color="000000" w:sz="8" w:space="0"/>
              <w:left w:val="nil"/>
              <w:bottom w:val="nil"/>
              <w:right w:val="nil"/>
            </w:tcBorders>
          </w:tcPr>
          <w:p w14:paraId="075986BA">
            <w:pPr>
              <w:spacing w:line="360" w:lineRule="auto"/>
              <w:jc w:val="center"/>
              <w:rPr>
                <w:rFonts w:ascii="Times New Roman" w:hAnsi="Times New Roman"/>
                <w:kern w:val="0"/>
                <w:sz w:val="24"/>
                <w:szCs w:val="24"/>
              </w:rPr>
            </w:pPr>
            <w:r>
              <w:rPr>
                <w:rFonts w:ascii="Times New Roman" w:hAnsi="Times New Roman"/>
                <w:kern w:val="0"/>
                <w:sz w:val="24"/>
                <w:szCs w:val="24"/>
              </w:rPr>
              <w:t>a</w:t>
            </w:r>
          </w:p>
        </w:tc>
        <w:tc>
          <w:tcPr>
            <w:tcW w:w="2410" w:type="dxa"/>
            <w:tcBorders>
              <w:top w:val="single" w:color="000000" w:sz="8" w:space="0"/>
              <w:left w:val="nil"/>
              <w:bottom w:val="nil"/>
              <w:right w:val="nil"/>
            </w:tcBorders>
          </w:tcPr>
          <w:p w14:paraId="1092488B">
            <w:pPr>
              <w:spacing w:line="360" w:lineRule="auto"/>
              <w:jc w:val="center"/>
              <w:rPr>
                <w:rFonts w:ascii="Times New Roman" w:hAnsi="Times New Roman"/>
                <w:kern w:val="0"/>
                <w:sz w:val="24"/>
                <w:szCs w:val="24"/>
              </w:rPr>
            </w:pPr>
            <w:r>
              <w:rPr>
                <w:rFonts w:ascii="Times New Roman" w:hAnsi="Times New Roman"/>
                <w:kern w:val="0"/>
                <w:sz w:val="24"/>
                <w:szCs w:val="24"/>
              </w:rPr>
              <w:t>b</w:t>
            </w:r>
          </w:p>
        </w:tc>
      </w:tr>
      <w:tr w14:paraId="26A11FC3">
        <w:tc>
          <w:tcPr>
            <w:tcW w:w="2072" w:type="dxa"/>
            <w:tcBorders>
              <w:top w:val="nil"/>
              <w:left w:val="nil"/>
              <w:bottom w:val="single" w:color="000000" w:sz="8" w:space="0"/>
              <w:right w:val="nil"/>
            </w:tcBorders>
          </w:tcPr>
          <w:p w14:paraId="2A24D85D">
            <w:pPr>
              <w:spacing w:line="360" w:lineRule="auto"/>
              <w:rPr>
                <w:rFonts w:ascii="Times New Roman" w:hAnsi="Times New Roman"/>
                <w:kern w:val="0"/>
                <w:sz w:val="24"/>
                <w:szCs w:val="24"/>
              </w:rPr>
            </w:pPr>
            <w:r>
              <w:rPr>
                <w:rFonts w:ascii="Times New Roman" w:hAnsi="Times New Roman"/>
                <w:kern w:val="0"/>
                <w:sz w:val="24"/>
                <w:szCs w:val="24"/>
              </w:rPr>
              <w:t>Non-erlotinib</w:t>
            </w:r>
          </w:p>
        </w:tc>
        <w:tc>
          <w:tcPr>
            <w:tcW w:w="3877" w:type="dxa"/>
            <w:tcBorders>
              <w:top w:val="nil"/>
              <w:left w:val="nil"/>
              <w:bottom w:val="single" w:color="000000" w:sz="8" w:space="0"/>
              <w:right w:val="nil"/>
            </w:tcBorders>
          </w:tcPr>
          <w:p w14:paraId="628D351C">
            <w:pPr>
              <w:spacing w:line="360" w:lineRule="auto"/>
              <w:jc w:val="center"/>
              <w:rPr>
                <w:rFonts w:ascii="Times New Roman" w:hAnsi="Times New Roman"/>
                <w:kern w:val="0"/>
                <w:sz w:val="24"/>
                <w:szCs w:val="24"/>
              </w:rPr>
            </w:pPr>
            <w:r>
              <w:rPr>
                <w:rFonts w:ascii="Times New Roman" w:hAnsi="Times New Roman"/>
                <w:kern w:val="0"/>
                <w:sz w:val="24"/>
                <w:szCs w:val="24"/>
              </w:rPr>
              <w:t>c</w:t>
            </w:r>
          </w:p>
        </w:tc>
        <w:tc>
          <w:tcPr>
            <w:tcW w:w="2410" w:type="dxa"/>
            <w:tcBorders>
              <w:top w:val="nil"/>
              <w:left w:val="nil"/>
              <w:bottom w:val="single" w:color="000000" w:sz="8" w:space="0"/>
              <w:right w:val="nil"/>
            </w:tcBorders>
          </w:tcPr>
          <w:p w14:paraId="5E3B5E65">
            <w:pPr>
              <w:spacing w:line="360" w:lineRule="auto"/>
              <w:jc w:val="center"/>
              <w:rPr>
                <w:rFonts w:ascii="Times New Roman" w:hAnsi="Times New Roman"/>
                <w:kern w:val="0"/>
                <w:sz w:val="24"/>
                <w:szCs w:val="24"/>
              </w:rPr>
            </w:pPr>
            <w:r>
              <w:rPr>
                <w:rFonts w:ascii="Times New Roman" w:hAnsi="Times New Roman"/>
                <w:kern w:val="0"/>
                <w:sz w:val="24"/>
                <w:szCs w:val="24"/>
              </w:rPr>
              <w:t>d</w:t>
            </w:r>
          </w:p>
        </w:tc>
      </w:tr>
      <w:tr w14:paraId="5E871713">
        <w:tc>
          <w:tcPr>
            <w:tcW w:w="8359" w:type="dxa"/>
            <w:gridSpan w:val="3"/>
            <w:tcBorders>
              <w:top w:val="single" w:color="000000" w:sz="8" w:space="0"/>
              <w:left w:val="nil"/>
              <w:bottom w:val="single" w:color="000000" w:sz="8" w:space="0"/>
              <w:right w:val="nil"/>
            </w:tcBorders>
          </w:tcPr>
          <w:p w14:paraId="0E4C31DE">
            <w:pPr>
              <w:spacing w:line="360" w:lineRule="auto"/>
              <w:rPr>
                <w:rFonts w:ascii="Times New Roman" w:hAnsi="Times New Roman"/>
                <w:kern w:val="0"/>
                <w:sz w:val="24"/>
                <w:szCs w:val="24"/>
              </w:rPr>
            </w:pPr>
            <w:r>
              <w:rPr>
                <w:rFonts w:ascii="Times New Roman" w:hAnsi="Times New Roman"/>
                <w:kern w:val="0"/>
                <w:sz w:val="24"/>
                <w:szCs w:val="24"/>
              </w:rPr>
              <w:t>Note: Erlotinib/tarceva is target drug in this study;</w:t>
            </w:r>
          </w:p>
          <w:p w14:paraId="1C21C3B4">
            <w:pPr>
              <w:spacing w:line="360" w:lineRule="auto"/>
              <w:rPr>
                <w:rFonts w:ascii="Times New Roman" w:hAnsi="Times New Roman"/>
                <w:kern w:val="0"/>
                <w:sz w:val="24"/>
                <w:szCs w:val="24"/>
              </w:rPr>
            </w:pPr>
            <w:r>
              <w:rPr>
                <w:rFonts w:ascii="Times New Roman" w:hAnsi="Times New Roman"/>
                <w:kern w:val="0"/>
                <w:sz w:val="24"/>
                <w:szCs w:val="24"/>
              </w:rPr>
              <w:t>N=a+b+c+d;</w:t>
            </w:r>
          </w:p>
          <w:p w14:paraId="565D90C1">
            <w:pPr>
              <w:spacing w:line="360" w:lineRule="auto"/>
              <w:rPr>
                <w:rFonts w:ascii="Times New Roman" w:hAnsi="Times New Roman"/>
                <w:kern w:val="0"/>
                <w:sz w:val="24"/>
                <w:szCs w:val="24"/>
              </w:rPr>
            </w:pPr>
            <w:r>
              <w:rPr>
                <w:rFonts w:ascii="Times New Roman" w:hAnsi="Times New Roman"/>
                <w:kern w:val="0"/>
                <w:sz w:val="24"/>
                <w:szCs w:val="24"/>
              </w:rPr>
              <w:t>AEs: Adverse events.</w:t>
            </w:r>
          </w:p>
        </w:tc>
      </w:tr>
    </w:tbl>
    <w:p w14:paraId="7F8D215E">
      <w:pPr>
        <w:spacing w:line="360" w:lineRule="auto"/>
        <w:rPr>
          <w:rFonts w:ascii="Times New Roman" w:hAnsi="Times New Roman" w:eastAsia="DengXian"/>
        </w:rPr>
      </w:pPr>
      <w:r>
        <w:rPr>
          <w:rFonts w:ascii="Times New Roman" w:hAnsi="Times New Roman"/>
        </w:rPr>
        <w:t xml:space="preserve"> </w:t>
      </w:r>
    </w:p>
    <w:p w14:paraId="644621CF">
      <w:pPr>
        <w:spacing w:line="360" w:lineRule="auto"/>
        <w:rPr>
          <w:rFonts w:ascii="Times New Roman" w:hAnsi="Times New Roman"/>
        </w:rPr>
      </w:pPr>
      <w:r>
        <w:rPr>
          <w:rFonts w:ascii="Times New Roman" w:hAnsi="Times New Roman"/>
        </w:rPr>
        <w:t xml:space="preserve">Table 2 The features of reports associated with </w:t>
      </w:r>
      <w:r>
        <w:rPr>
          <w:rFonts w:hint="eastAsia" w:ascii="Times New Roman" w:hAnsi="Times New Roman"/>
        </w:rPr>
        <w:t>erlotinib</w:t>
      </w:r>
      <w:r>
        <w:rPr>
          <w:rFonts w:ascii="Times New Roman" w:hAnsi="Times New Roman"/>
        </w:rPr>
        <w:t xml:space="preserve"> from </w:t>
      </w:r>
      <w:r>
        <w:rPr>
          <w:rFonts w:hint="eastAsia" w:ascii="Times New Roman" w:hAnsi="Times New Roman"/>
        </w:rPr>
        <w:t>the</w:t>
      </w:r>
      <w:r>
        <w:rPr>
          <w:rFonts w:ascii="Times New Roman" w:hAnsi="Times New Roman"/>
        </w:rPr>
        <w:t xml:space="preserve"> 2005 </w:t>
      </w:r>
      <w:r>
        <w:rPr>
          <w:rFonts w:hint="eastAsia" w:ascii="Times New Roman" w:hAnsi="Times New Roman"/>
        </w:rPr>
        <w:t>Q1</w:t>
      </w:r>
      <w:r>
        <w:rPr>
          <w:rFonts w:ascii="Times New Roman" w:hAnsi="Times New Roman"/>
        </w:rPr>
        <w:t xml:space="preserve"> to 2021 </w:t>
      </w:r>
      <w:r>
        <w:rPr>
          <w:rFonts w:hint="eastAsia" w:ascii="Times New Roman" w:hAnsi="Times New Roman"/>
        </w:rPr>
        <w:t>Q4</w:t>
      </w:r>
      <w:r>
        <w:rPr>
          <w:rFonts w:ascii="Times New Roman" w:hAnsi="Times New Roman"/>
        </w:rPr>
        <w:t>.</w:t>
      </w:r>
    </w:p>
    <w:tbl>
      <w:tblPr>
        <w:tblStyle w:val="4"/>
        <w:tblW w:w="8290" w:type="dxa"/>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763"/>
        <w:gridCol w:w="2763"/>
        <w:gridCol w:w="2764"/>
      </w:tblGrid>
      <w:tr w14:paraId="3260637E">
        <w:tc>
          <w:tcPr>
            <w:tcW w:w="2763" w:type="dxa"/>
            <w:vMerge w:val="restart"/>
            <w:tcBorders>
              <w:top w:val="single" w:color="000000" w:sz="8" w:space="0"/>
              <w:left w:val="nil"/>
              <w:bottom w:val="nil"/>
              <w:right w:val="nil"/>
            </w:tcBorders>
          </w:tcPr>
          <w:p w14:paraId="718BFC68">
            <w:pPr>
              <w:spacing w:line="360" w:lineRule="auto"/>
              <w:rPr>
                <w:rFonts w:ascii="Times New Roman" w:hAnsi="Times New Roman"/>
                <w:kern w:val="0"/>
                <w:sz w:val="24"/>
                <w:szCs w:val="24"/>
              </w:rPr>
            </w:pPr>
          </w:p>
        </w:tc>
        <w:tc>
          <w:tcPr>
            <w:tcW w:w="5527" w:type="dxa"/>
            <w:gridSpan w:val="2"/>
            <w:tcBorders>
              <w:top w:val="single" w:color="000000" w:sz="8" w:space="0"/>
              <w:left w:val="nil"/>
              <w:bottom w:val="single" w:color="000000" w:sz="8" w:space="0"/>
              <w:right w:val="nil"/>
            </w:tcBorders>
          </w:tcPr>
          <w:p w14:paraId="225F0570">
            <w:pPr>
              <w:spacing w:line="360" w:lineRule="auto"/>
              <w:jc w:val="center"/>
              <w:rPr>
                <w:rFonts w:ascii="Times New Roman" w:hAnsi="Times New Roman"/>
                <w:b/>
                <w:bCs/>
                <w:kern w:val="0"/>
                <w:sz w:val="24"/>
                <w:szCs w:val="24"/>
              </w:rPr>
            </w:pPr>
            <w:r>
              <w:rPr>
                <w:rFonts w:ascii="Times New Roman" w:hAnsi="Times New Roman"/>
                <w:b/>
                <w:bCs/>
                <w:color w:val="000000" w:themeColor="text1"/>
                <w:kern w:val="0"/>
                <w:sz w:val="24"/>
                <w:szCs w:val="24"/>
                <w14:textFill>
                  <w14:solidFill>
                    <w14:schemeClr w14:val="tx1"/>
                  </w14:solidFill>
                </w14:textFill>
              </w:rPr>
              <w:t>Erlotinib</w:t>
            </w:r>
          </w:p>
        </w:tc>
      </w:tr>
      <w:tr w14:paraId="6179E7F2">
        <w:tc>
          <w:tcPr>
            <w:tcW w:w="8290" w:type="dxa"/>
            <w:vMerge w:val="continue"/>
            <w:tcBorders>
              <w:top w:val="single" w:color="000000" w:sz="8" w:space="0"/>
              <w:left w:val="nil"/>
              <w:bottom w:val="nil"/>
              <w:right w:val="nil"/>
            </w:tcBorders>
            <w:vAlign w:val="center"/>
          </w:tcPr>
          <w:p w14:paraId="36D5AF64">
            <w:pPr>
              <w:widowControl/>
              <w:jc w:val="left"/>
              <w:rPr>
                <w:rFonts w:ascii="Times New Roman" w:hAnsi="Times New Roman"/>
                <w:kern w:val="0"/>
                <w:sz w:val="24"/>
                <w:szCs w:val="24"/>
              </w:rPr>
            </w:pPr>
          </w:p>
        </w:tc>
        <w:tc>
          <w:tcPr>
            <w:tcW w:w="2763" w:type="dxa"/>
            <w:tcBorders>
              <w:top w:val="single" w:color="000000" w:sz="8" w:space="0"/>
              <w:left w:val="nil"/>
              <w:bottom w:val="single" w:color="000000" w:sz="8" w:space="0"/>
              <w:right w:val="nil"/>
            </w:tcBorders>
          </w:tcPr>
          <w:p w14:paraId="3EB66845">
            <w:pPr>
              <w:spacing w:line="360" w:lineRule="auto"/>
              <w:jc w:val="center"/>
              <w:rPr>
                <w:rFonts w:ascii="Times New Roman" w:hAnsi="Times New Roman"/>
                <w:b/>
                <w:bCs/>
                <w:kern w:val="0"/>
                <w:sz w:val="24"/>
                <w:szCs w:val="24"/>
              </w:rPr>
            </w:pPr>
            <w:r>
              <w:rPr>
                <w:rFonts w:ascii="Times New Roman" w:hAnsi="Times New Roman"/>
                <w:b/>
                <w:bCs/>
                <w:color w:val="000000" w:themeColor="text1"/>
                <w:kern w:val="0"/>
                <w:sz w:val="24"/>
                <w:szCs w:val="24"/>
                <w14:textFill>
                  <w14:solidFill>
                    <w14:schemeClr w14:val="tx1"/>
                  </w14:solidFill>
                </w14:textFill>
              </w:rPr>
              <w:t>Counts</w:t>
            </w:r>
          </w:p>
        </w:tc>
        <w:tc>
          <w:tcPr>
            <w:tcW w:w="2764" w:type="dxa"/>
            <w:tcBorders>
              <w:top w:val="single" w:color="000000" w:sz="8" w:space="0"/>
              <w:left w:val="nil"/>
              <w:bottom w:val="single" w:color="000000" w:sz="8" w:space="0"/>
              <w:right w:val="nil"/>
            </w:tcBorders>
          </w:tcPr>
          <w:p w14:paraId="76CAE9D8">
            <w:pPr>
              <w:spacing w:line="360" w:lineRule="auto"/>
              <w:jc w:val="center"/>
              <w:rPr>
                <w:rFonts w:ascii="Times New Roman" w:hAnsi="Times New Roman"/>
                <w:b/>
                <w:bCs/>
                <w:kern w:val="0"/>
                <w:sz w:val="24"/>
                <w:szCs w:val="24"/>
              </w:rPr>
            </w:pPr>
            <w:r>
              <w:rPr>
                <w:rFonts w:ascii="Times New Roman" w:hAnsi="Times New Roman"/>
                <w:b/>
                <w:bCs/>
                <w:color w:val="000000" w:themeColor="text1"/>
                <w:kern w:val="0"/>
                <w:sz w:val="24"/>
                <w:szCs w:val="24"/>
                <w14:textFill>
                  <w14:solidFill>
                    <w14:schemeClr w14:val="tx1"/>
                  </w14:solidFill>
                </w14:textFill>
              </w:rPr>
              <w:t>Percentages</w:t>
            </w:r>
            <w:r>
              <w:rPr>
                <w:rFonts w:hint="eastAsia" w:ascii="Times New Roman" w:hAnsi="Times New Roman"/>
                <w:b/>
                <w:bCs/>
                <w:color w:val="000000" w:themeColor="text1"/>
                <w:kern w:val="0"/>
                <w:sz w:val="24"/>
                <w:szCs w:val="24"/>
                <w14:textFill>
                  <w14:solidFill>
                    <w14:schemeClr w14:val="tx1"/>
                  </w14:solidFill>
                </w14:textFill>
              </w:rPr>
              <w:t xml:space="preserve"> </w:t>
            </w:r>
            <w:r>
              <w:rPr>
                <w:rFonts w:ascii="Times New Roman" w:hAnsi="Times New Roman"/>
                <w:b/>
                <w:bCs/>
                <w:color w:val="000000" w:themeColor="text1"/>
                <w:kern w:val="0"/>
                <w:sz w:val="24"/>
                <w:szCs w:val="24"/>
                <w14:textFill>
                  <w14:solidFill>
                    <w14:schemeClr w14:val="tx1"/>
                  </w14:solidFill>
                </w14:textFill>
              </w:rPr>
              <w:t>(%)</w:t>
            </w:r>
          </w:p>
        </w:tc>
      </w:tr>
      <w:tr w14:paraId="26C08BCC">
        <w:tc>
          <w:tcPr>
            <w:tcW w:w="2763" w:type="dxa"/>
            <w:tcBorders>
              <w:top w:val="single" w:color="000000" w:sz="8" w:space="0"/>
              <w:left w:val="nil"/>
              <w:bottom w:val="single" w:color="000000" w:sz="8" w:space="0"/>
              <w:right w:val="nil"/>
            </w:tcBorders>
          </w:tcPr>
          <w:p w14:paraId="1CC41F16">
            <w:pPr>
              <w:spacing w:line="360" w:lineRule="auto"/>
              <w:rPr>
                <w:rFonts w:ascii="Times New Roman" w:hAnsi="Times New Roman"/>
                <w:b/>
                <w:bCs/>
                <w:kern w:val="0"/>
                <w:sz w:val="24"/>
                <w:szCs w:val="24"/>
              </w:rPr>
            </w:pPr>
            <w:r>
              <w:rPr>
                <w:rFonts w:ascii="Times New Roman" w:hAnsi="Times New Roman"/>
                <w:b/>
                <w:bCs/>
                <w:color w:val="000000" w:themeColor="text1"/>
                <w:kern w:val="0"/>
                <w:sz w:val="24"/>
                <w:szCs w:val="24"/>
                <w14:textFill>
                  <w14:solidFill>
                    <w14:schemeClr w14:val="tx1"/>
                  </w14:solidFill>
                </w14:textFill>
              </w:rPr>
              <w:t>Number of Events</w:t>
            </w:r>
          </w:p>
        </w:tc>
        <w:tc>
          <w:tcPr>
            <w:tcW w:w="2763" w:type="dxa"/>
            <w:tcBorders>
              <w:top w:val="single" w:color="000000" w:sz="8" w:space="0"/>
              <w:left w:val="nil"/>
              <w:bottom w:val="single" w:color="000000" w:sz="8" w:space="0"/>
              <w:right w:val="nil"/>
            </w:tcBorders>
          </w:tcPr>
          <w:p w14:paraId="2AE93F3F">
            <w:pPr>
              <w:spacing w:line="360" w:lineRule="auto"/>
              <w:jc w:val="center"/>
              <w:rPr>
                <w:rFonts w:ascii="Times New Roman" w:hAnsi="Times New Roman"/>
                <w:b/>
                <w:bCs/>
                <w:kern w:val="0"/>
                <w:sz w:val="24"/>
                <w:szCs w:val="24"/>
              </w:rPr>
            </w:pPr>
            <w:r>
              <w:rPr>
                <w:rFonts w:ascii="Times New Roman" w:hAnsi="Times New Roman"/>
                <w:b/>
                <w:bCs/>
                <w:color w:val="000000" w:themeColor="text1"/>
                <w:kern w:val="0"/>
                <w:sz w:val="24"/>
                <w:szCs w:val="24"/>
                <w14:textFill>
                  <w14:solidFill>
                    <w14:schemeClr w14:val="tx1"/>
                  </w14:solidFill>
                </w14:textFill>
              </w:rPr>
              <w:t>26957</w:t>
            </w:r>
          </w:p>
        </w:tc>
        <w:tc>
          <w:tcPr>
            <w:tcW w:w="2764" w:type="dxa"/>
            <w:tcBorders>
              <w:top w:val="single" w:color="000000" w:sz="8" w:space="0"/>
              <w:left w:val="nil"/>
              <w:bottom w:val="single" w:color="000000" w:sz="8" w:space="0"/>
              <w:right w:val="nil"/>
            </w:tcBorders>
          </w:tcPr>
          <w:p w14:paraId="512C2CD3">
            <w:pPr>
              <w:spacing w:line="360" w:lineRule="auto"/>
              <w:jc w:val="center"/>
              <w:rPr>
                <w:rFonts w:ascii="Times New Roman" w:hAnsi="Times New Roman"/>
                <w:kern w:val="0"/>
                <w:sz w:val="24"/>
                <w:szCs w:val="24"/>
              </w:rPr>
            </w:pPr>
          </w:p>
        </w:tc>
      </w:tr>
      <w:tr w14:paraId="5E77BF52">
        <w:tc>
          <w:tcPr>
            <w:tcW w:w="2763" w:type="dxa"/>
            <w:tcBorders>
              <w:top w:val="single" w:color="000000" w:sz="8" w:space="0"/>
              <w:left w:val="nil"/>
              <w:bottom w:val="nil"/>
              <w:right w:val="nil"/>
            </w:tcBorders>
          </w:tcPr>
          <w:p w14:paraId="43BFCF3A">
            <w:pPr>
              <w:spacing w:line="360" w:lineRule="auto"/>
              <w:rPr>
                <w:rFonts w:ascii="Times New Roman" w:hAnsi="Times New Roman"/>
                <w:b/>
                <w:bCs/>
                <w:kern w:val="0"/>
                <w:sz w:val="24"/>
                <w:szCs w:val="24"/>
              </w:rPr>
            </w:pPr>
            <w:r>
              <w:rPr>
                <w:rFonts w:ascii="Times New Roman" w:hAnsi="Times New Roman"/>
                <w:b/>
                <w:bCs/>
                <w:color w:val="000000" w:themeColor="text1"/>
                <w:kern w:val="0"/>
                <w:sz w:val="24"/>
                <w:szCs w:val="24"/>
                <w14:textFill>
                  <w14:solidFill>
                    <w14:schemeClr w14:val="tx1"/>
                  </w14:solidFill>
                </w14:textFill>
              </w:rPr>
              <w:t>Gender</w:t>
            </w:r>
          </w:p>
        </w:tc>
        <w:tc>
          <w:tcPr>
            <w:tcW w:w="2763" w:type="dxa"/>
            <w:tcBorders>
              <w:top w:val="single" w:color="000000" w:sz="8" w:space="0"/>
              <w:left w:val="nil"/>
              <w:bottom w:val="nil"/>
              <w:right w:val="nil"/>
            </w:tcBorders>
          </w:tcPr>
          <w:p w14:paraId="307DADCD">
            <w:pPr>
              <w:spacing w:line="360" w:lineRule="auto"/>
              <w:jc w:val="center"/>
              <w:rPr>
                <w:rFonts w:ascii="Times New Roman" w:hAnsi="Times New Roman"/>
                <w:kern w:val="0"/>
                <w:sz w:val="24"/>
                <w:szCs w:val="24"/>
              </w:rPr>
            </w:pPr>
          </w:p>
        </w:tc>
        <w:tc>
          <w:tcPr>
            <w:tcW w:w="2764" w:type="dxa"/>
            <w:tcBorders>
              <w:top w:val="single" w:color="000000" w:sz="8" w:space="0"/>
              <w:left w:val="nil"/>
              <w:bottom w:val="nil"/>
              <w:right w:val="nil"/>
            </w:tcBorders>
          </w:tcPr>
          <w:p w14:paraId="6081611F">
            <w:pPr>
              <w:spacing w:line="360" w:lineRule="auto"/>
              <w:jc w:val="center"/>
              <w:rPr>
                <w:rFonts w:ascii="Times New Roman" w:hAnsi="Times New Roman"/>
                <w:kern w:val="0"/>
                <w:sz w:val="24"/>
                <w:szCs w:val="24"/>
              </w:rPr>
            </w:pPr>
          </w:p>
        </w:tc>
      </w:tr>
      <w:tr w14:paraId="0A0782CB">
        <w:tc>
          <w:tcPr>
            <w:tcW w:w="2763" w:type="dxa"/>
            <w:tcBorders>
              <w:top w:val="nil"/>
              <w:left w:val="nil"/>
              <w:bottom w:val="nil"/>
              <w:right w:val="nil"/>
            </w:tcBorders>
            <w:vAlign w:val="center"/>
          </w:tcPr>
          <w:p w14:paraId="32F39D8F">
            <w:pPr>
              <w:spacing w:line="360" w:lineRule="auto"/>
              <w:rPr>
                <w:rFonts w:ascii="Times New Roman" w:hAnsi="Times New Roman"/>
                <w:kern w:val="0"/>
                <w:sz w:val="24"/>
                <w:szCs w:val="24"/>
              </w:rPr>
            </w:pPr>
            <w:r>
              <w:rPr>
                <w:rFonts w:ascii="Times New Roman" w:hAnsi="Times New Roman"/>
                <w:color w:val="000000" w:themeColor="text1"/>
                <w:kern w:val="0"/>
                <w:sz w:val="24"/>
                <w:szCs w:val="24"/>
                <w14:textFill>
                  <w14:solidFill>
                    <w14:schemeClr w14:val="tx1"/>
                  </w14:solidFill>
                </w14:textFill>
              </w:rPr>
              <w:t>Male</w:t>
            </w:r>
          </w:p>
        </w:tc>
        <w:tc>
          <w:tcPr>
            <w:tcW w:w="2763" w:type="dxa"/>
            <w:tcBorders>
              <w:top w:val="nil"/>
              <w:left w:val="nil"/>
              <w:bottom w:val="nil"/>
              <w:right w:val="nil"/>
            </w:tcBorders>
            <w:vAlign w:val="center"/>
          </w:tcPr>
          <w:p w14:paraId="46F03896">
            <w:pPr>
              <w:widowControl/>
              <w:jc w:val="center"/>
              <w:textAlignment w:val="center"/>
              <w:rPr>
                <w:rFonts w:ascii="Times New Roman Regular" w:hAnsi="Times New Roman Regular" w:eastAsia="Times New Roman"/>
                <w:kern w:val="0"/>
                <w:sz w:val="24"/>
                <w:szCs w:val="24"/>
              </w:rPr>
            </w:pPr>
            <w:r>
              <w:rPr>
                <w:rFonts w:ascii="Times New Roman Regular" w:hAnsi="Times New Roman Regular" w:eastAsia="DengXian"/>
                <w:color w:val="000000" w:themeColor="text1"/>
                <w:kern w:val="0"/>
                <w:sz w:val="24"/>
                <w:szCs w:val="24"/>
                <w14:textFill>
                  <w14:solidFill>
                    <w14:schemeClr w14:val="tx1"/>
                  </w14:solidFill>
                </w14:textFill>
              </w:rPr>
              <w:t>11755</w:t>
            </w:r>
          </w:p>
        </w:tc>
        <w:tc>
          <w:tcPr>
            <w:tcW w:w="2764" w:type="dxa"/>
            <w:tcBorders>
              <w:top w:val="nil"/>
              <w:left w:val="nil"/>
              <w:bottom w:val="nil"/>
              <w:right w:val="nil"/>
            </w:tcBorders>
            <w:vAlign w:val="center"/>
          </w:tcPr>
          <w:p w14:paraId="08B7B0D5">
            <w:pPr>
              <w:widowControl/>
              <w:jc w:val="center"/>
              <w:textAlignment w:val="center"/>
              <w:rPr>
                <w:rFonts w:ascii="Times New Roman Regular" w:hAnsi="Times New Roman Regular" w:eastAsia="Times New Roman"/>
                <w:kern w:val="0"/>
                <w:sz w:val="24"/>
                <w:szCs w:val="24"/>
              </w:rPr>
            </w:pPr>
            <w:r>
              <w:rPr>
                <w:rFonts w:ascii="Times New Roman Regular" w:hAnsi="Times New Roman Regular" w:eastAsia="Times New Roman"/>
                <w:color w:val="000000" w:themeColor="text1"/>
                <w:kern w:val="0"/>
                <w:sz w:val="24"/>
                <w:szCs w:val="24"/>
                <w14:textFill>
                  <w14:solidFill>
                    <w14:schemeClr w14:val="tx1"/>
                  </w14:solidFill>
                </w14:textFill>
              </w:rPr>
              <w:t>43.61</w:t>
            </w:r>
          </w:p>
        </w:tc>
      </w:tr>
      <w:tr w14:paraId="00B29A16">
        <w:tc>
          <w:tcPr>
            <w:tcW w:w="2763" w:type="dxa"/>
            <w:tcBorders>
              <w:top w:val="nil"/>
              <w:left w:val="nil"/>
              <w:bottom w:val="nil"/>
              <w:right w:val="nil"/>
            </w:tcBorders>
            <w:vAlign w:val="center"/>
          </w:tcPr>
          <w:p w14:paraId="5D316E0D">
            <w:pPr>
              <w:spacing w:line="360" w:lineRule="auto"/>
              <w:rPr>
                <w:rFonts w:ascii="Times New Roman" w:hAnsi="Times New Roman"/>
                <w:kern w:val="0"/>
                <w:sz w:val="24"/>
                <w:szCs w:val="24"/>
              </w:rPr>
            </w:pPr>
            <w:r>
              <w:rPr>
                <w:rFonts w:ascii="Times New Roman" w:hAnsi="Times New Roman"/>
                <w:color w:val="000000" w:themeColor="text1"/>
                <w:kern w:val="0"/>
                <w:sz w:val="24"/>
                <w:szCs w:val="24"/>
                <w14:textFill>
                  <w14:solidFill>
                    <w14:schemeClr w14:val="tx1"/>
                  </w14:solidFill>
                </w14:textFill>
              </w:rPr>
              <w:t>Female</w:t>
            </w:r>
          </w:p>
        </w:tc>
        <w:tc>
          <w:tcPr>
            <w:tcW w:w="2763" w:type="dxa"/>
            <w:tcBorders>
              <w:top w:val="nil"/>
              <w:left w:val="nil"/>
              <w:bottom w:val="nil"/>
              <w:right w:val="nil"/>
            </w:tcBorders>
            <w:vAlign w:val="center"/>
          </w:tcPr>
          <w:p w14:paraId="4C57CD6D">
            <w:pPr>
              <w:widowControl/>
              <w:jc w:val="center"/>
              <w:textAlignment w:val="center"/>
              <w:rPr>
                <w:rFonts w:ascii="Times New Roman Regular" w:hAnsi="Times New Roman Regular" w:eastAsia="Times New Roman"/>
                <w:kern w:val="0"/>
                <w:sz w:val="24"/>
                <w:szCs w:val="24"/>
              </w:rPr>
            </w:pPr>
            <w:r>
              <w:rPr>
                <w:rFonts w:ascii="Times New Roman Regular" w:hAnsi="Times New Roman Regular" w:eastAsia="DengXian"/>
                <w:color w:val="000000" w:themeColor="text1"/>
                <w:kern w:val="0"/>
                <w:sz w:val="24"/>
                <w:szCs w:val="24"/>
                <w14:textFill>
                  <w14:solidFill>
                    <w14:schemeClr w14:val="tx1"/>
                  </w14:solidFill>
                </w14:textFill>
              </w:rPr>
              <w:t>13510</w:t>
            </w:r>
          </w:p>
        </w:tc>
        <w:tc>
          <w:tcPr>
            <w:tcW w:w="2764" w:type="dxa"/>
            <w:tcBorders>
              <w:top w:val="nil"/>
              <w:left w:val="nil"/>
              <w:bottom w:val="nil"/>
              <w:right w:val="nil"/>
            </w:tcBorders>
            <w:vAlign w:val="center"/>
          </w:tcPr>
          <w:p w14:paraId="5F70AD3B">
            <w:pPr>
              <w:widowControl/>
              <w:jc w:val="center"/>
              <w:textAlignment w:val="center"/>
              <w:rPr>
                <w:rFonts w:ascii="Times New Roman Regular" w:hAnsi="Times New Roman Regular" w:eastAsia="Times New Roman"/>
                <w:kern w:val="0"/>
                <w:sz w:val="24"/>
                <w:szCs w:val="24"/>
              </w:rPr>
            </w:pPr>
            <w:r>
              <w:rPr>
                <w:rFonts w:ascii="Times New Roman Regular" w:hAnsi="Times New Roman Regular" w:eastAsia="Times New Roman"/>
                <w:color w:val="000000" w:themeColor="text1"/>
                <w:kern w:val="0"/>
                <w:sz w:val="24"/>
                <w:szCs w:val="24"/>
                <w14:textFill>
                  <w14:solidFill>
                    <w14:schemeClr w14:val="tx1"/>
                  </w14:solidFill>
                </w14:textFill>
              </w:rPr>
              <w:t>50.12</w:t>
            </w:r>
          </w:p>
        </w:tc>
      </w:tr>
      <w:tr w14:paraId="7BC2AAEA">
        <w:tc>
          <w:tcPr>
            <w:tcW w:w="2763" w:type="dxa"/>
            <w:tcBorders>
              <w:top w:val="nil"/>
              <w:left w:val="nil"/>
              <w:bottom w:val="nil"/>
              <w:right w:val="nil"/>
            </w:tcBorders>
            <w:vAlign w:val="center"/>
          </w:tcPr>
          <w:p w14:paraId="5ECDF5D0">
            <w:pPr>
              <w:spacing w:line="360" w:lineRule="auto"/>
              <w:rPr>
                <w:rFonts w:hint="eastAsia" w:ascii="Times New Roman" w:hAnsi="Times New Roman"/>
                <w:kern w:val="0"/>
                <w:sz w:val="24"/>
                <w:szCs w:val="24"/>
              </w:rPr>
            </w:pPr>
            <w:r>
              <w:rPr>
                <w:rFonts w:ascii="Times New Roman" w:hAnsi="Times New Roman"/>
                <w:color w:val="000000" w:themeColor="text1"/>
                <w:kern w:val="0"/>
                <w:sz w:val="24"/>
                <w:szCs w:val="24"/>
                <w14:textFill>
                  <w14:solidFill>
                    <w14:schemeClr w14:val="tx1"/>
                  </w14:solidFill>
                </w14:textFill>
              </w:rPr>
              <w:t>Unknown</w:t>
            </w:r>
            <w:r>
              <w:rPr>
                <w:rFonts w:hint="eastAsia" w:ascii="Times New Roman" w:hAnsi="Times New Roman"/>
                <w:color w:val="000000" w:themeColor="text1"/>
                <w:kern w:val="0"/>
                <w:sz w:val="24"/>
                <w:szCs w:val="24"/>
                <w14:textFill>
                  <w14:solidFill>
                    <w14:schemeClr w14:val="tx1"/>
                  </w14:solidFill>
                </w14:textFill>
              </w:rPr>
              <w:t>*</w:t>
            </w:r>
          </w:p>
        </w:tc>
        <w:tc>
          <w:tcPr>
            <w:tcW w:w="2763" w:type="dxa"/>
            <w:tcBorders>
              <w:top w:val="nil"/>
              <w:left w:val="nil"/>
              <w:bottom w:val="nil"/>
              <w:right w:val="nil"/>
            </w:tcBorders>
            <w:vAlign w:val="center"/>
          </w:tcPr>
          <w:p w14:paraId="1E5C12C5">
            <w:pPr>
              <w:widowControl/>
              <w:jc w:val="center"/>
              <w:textAlignment w:val="center"/>
              <w:rPr>
                <w:rFonts w:ascii="Times New Roman Regular" w:hAnsi="Times New Roman Regular" w:eastAsia="Times New Roman"/>
                <w:kern w:val="0"/>
                <w:sz w:val="24"/>
                <w:szCs w:val="24"/>
              </w:rPr>
            </w:pPr>
            <w:r>
              <w:rPr>
                <w:rFonts w:ascii="Times New Roman Regular" w:hAnsi="Times New Roman Regular" w:eastAsia="DengXian"/>
                <w:color w:val="000000" w:themeColor="text1"/>
                <w:kern w:val="0"/>
                <w:sz w:val="24"/>
                <w:szCs w:val="24"/>
                <w14:textFill>
                  <w14:solidFill>
                    <w14:schemeClr w14:val="tx1"/>
                  </w14:solidFill>
                </w14:textFill>
              </w:rPr>
              <w:t>1692</w:t>
            </w:r>
          </w:p>
        </w:tc>
        <w:tc>
          <w:tcPr>
            <w:tcW w:w="2764" w:type="dxa"/>
            <w:tcBorders>
              <w:top w:val="nil"/>
              <w:left w:val="nil"/>
              <w:bottom w:val="nil"/>
              <w:right w:val="nil"/>
            </w:tcBorders>
            <w:vAlign w:val="center"/>
          </w:tcPr>
          <w:p w14:paraId="4D48C537">
            <w:pPr>
              <w:widowControl/>
              <w:jc w:val="center"/>
              <w:textAlignment w:val="center"/>
              <w:rPr>
                <w:rFonts w:ascii="Times New Roman Regular" w:hAnsi="Times New Roman Regular" w:eastAsia="Times New Roman"/>
                <w:kern w:val="0"/>
                <w:sz w:val="24"/>
                <w:szCs w:val="24"/>
              </w:rPr>
            </w:pPr>
            <w:r>
              <w:rPr>
                <w:rFonts w:ascii="Times New Roman Regular" w:hAnsi="Times New Roman Regular" w:eastAsia="Times New Roman"/>
                <w:color w:val="000000" w:themeColor="text1"/>
                <w:kern w:val="0"/>
                <w:sz w:val="24"/>
                <w:szCs w:val="24"/>
                <w14:textFill>
                  <w14:solidFill>
                    <w14:schemeClr w14:val="tx1"/>
                  </w14:solidFill>
                </w14:textFill>
              </w:rPr>
              <w:t>6.2</w:t>
            </w:r>
            <w:r>
              <w:rPr>
                <w:rFonts w:hint="eastAsia" w:ascii="Times New Roman Regular" w:hAnsi="Times New Roman Regular" w:eastAsia="Times New Roman"/>
                <w:color w:val="000000" w:themeColor="text1"/>
                <w:kern w:val="0"/>
                <w:sz w:val="24"/>
                <w:szCs w:val="24"/>
                <w14:textFill>
                  <w14:solidFill>
                    <w14:schemeClr w14:val="tx1"/>
                  </w14:solidFill>
                </w14:textFill>
              </w:rPr>
              <w:t>7</w:t>
            </w:r>
          </w:p>
        </w:tc>
      </w:tr>
      <w:tr w14:paraId="56AFB8B2">
        <w:tc>
          <w:tcPr>
            <w:tcW w:w="8290" w:type="dxa"/>
            <w:gridSpan w:val="3"/>
            <w:tcBorders>
              <w:top w:val="nil"/>
              <w:left w:val="nil"/>
              <w:bottom w:val="nil"/>
              <w:right w:val="nil"/>
            </w:tcBorders>
          </w:tcPr>
          <w:p w14:paraId="7623CE56">
            <w:pPr>
              <w:spacing w:line="360" w:lineRule="auto"/>
              <w:jc w:val="left"/>
              <w:rPr>
                <w:rFonts w:ascii="Times New Roman" w:hAnsi="Times New Roman"/>
                <w:kern w:val="0"/>
                <w:sz w:val="24"/>
                <w:szCs w:val="24"/>
              </w:rPr>
            </w:pPr>
            <w:r>
              <w:rPr>
                <w:rFonts w:ascii="Times New Roman" w:hAnsi="Times New Roman"/>
                <w:b/>
                <w:bCs/>
                <w:color w:val="000000" w:themeColor="text1"/>
                <w:kern w:val="0"/>
                <w:sz w:val="24"/>
                <w:szCs w:val="24"/>
                <w14:textFill>
                  <w14:solidFill>
                    <w14:schemeClr w14:val="tx1"/>
                  </w14:solidFill>
                </w14:textFill>
              </w:rPr>
              <w:t>Age</w:t>
            </w:r>
          </w:p>
        </w:tc>
      </w:tr>
      <w:tr w14:paraId="71AB7947">
        <w:tc>
          <w:tcPr>
            <w:tcW w:w="2763" w:type="dxa"/>
            <w:tcBorders>
              <w:top w:val="nil"/>
              <w:left w:val="nil"/>
              <w:bottom w:val="nil"/>
              <w:right w:val="nil"/>
            </w:tcBorders>
            <w:vAlign w:val="center"/>
          </w:tcPr>
          <w:p w14:paraId="2E4D5D75">
            <w:pPr>
              <w:spacing w:line="360" w:lineRule="auto"/>
              <w:rPr>
                <w:rFonts w:ascii="Times New Roman" w:hAnsi="Times New Roman"/>
                <w:kern w:val="0"/>
                <w:sz w:val="24"/>
                <w:szCs w:val="24"/>
              </w:rPr>
            </w:pPr>
            <w:r>
              <w:rPr>
                <w:rFonts w:ascii="Times New Roman" w:hAnsi="Times New Roman"/>
                <w:color w:val="000000" w:themeColor="text1"/>
                <w:kern w:val="0"/>
                <w:sz w:val="24"/>
                <w:szCs w:val="24"/>
                <w14:textFill>
                  <w14:solidFill>
                    <w14:schemeClr w14:val="tx1"/>
                  </w14:solidFill>
                </w14:textFill>
              </w:rPr>
              <w:t>&lt;20</w:t>
            </w:r>
          </w:p>
        </w:tc>
        <w:tc>
          <w:tcPr>
            <w:tcW w:w="2763" w:type="dxa"/>
            <w:tcBorders>
              <w:top w:val="nil"/>
              <w:left w:val="nil"/>
              <w:bottom w:val="nil"/>
              <w:right w:val="nil"/>
            </w:tcBorders>
            <w:vAlign w:val="center"/>
          </w:tcPr>
          <w:p w14:paraId="69070E58">
            <w:pPr>
              <w:widowControl/>
              <w:jc w:val="center"/>
              <w:textAlignment w:val="center"/>
              <w:rPr>
                <w:rFonts w:ascii="Times New Roman Regular" w:hAnsi="Times New Roman Regular" w:eastAsia="Times New Roman"/>
                <w:kern w:val="0"/>
                <w:sz w:val="24"/>
                <w:szCs w:val="24"/>
              </w:rPr>
            </w:pPr>
            <w:r>
              <w:rPr>
                <w:rFonts w:ascii="Times New Roman Regular" w:hAnsi="Times New Roman Regular" w:eastAsia="DengXian"/>
                <w:color w:val="000000" w:themeColor="text1"/>
                <w:kern w:val="0"/>
                <w:sz w:val="24"/>
                <w:szCs w:val="24"/>
                <w14:textFill>
                  <w14:solidFill>
                    <w14:schemeClr w14:val="tx1"/>
                  </w14:solidFill>
                </w14:textFill>
              </w:rPr>
              <w:t>34</w:t>
            </w:r>
          </w:p>
        </w:tc>
        <w:tc>
          <w:tcPr>
            <w:tcW w:w="2764" w:type="dxa"/>
            <w:tcBorders>
              <w:top w:val="nil"/>
              <w:left w:val="nil"/>
              <w:bottom w:val="nil"/>
              <w:right w:val="nil"/>
            </w:tcBorders>
            <w:vAlign w:val="center"/>
          </w:tcPr>
          <w:p w14:paraId="4EBE32B0">
            <w:pPr>
              <w:widowControl/>
              <w:jc w:val="center"/>
              <w:textAlignment w:val="center"/>
              <w:rPr>
                <w:rFonts w:ascii="Times New Roman Regular" w:hAnsi="Times New Roman Regular" w:eastAsia="Times New Roman"/>
                <w:kern w:val="0"/>
                <w:sz w:val="24"/>
                <w:szCs w:val="24"/>
              </w:rPr>
            </w:pPr>
            <w:r>
              <w:rPr>
                <w:rFonts w:ascii="Times New Roman Regular" w:hAnsi="Times New Roman Regular" w:eastAsia="Times New Roman"/>
                <w:color w:val="000000" w:themeColor="text1"/>
                <w:kern w:val="0"/>
                <w:sz w:val="24"/>
                <w:szCs w:val="24"/>
                <w14:textFill>
                  <w14:solidFill>
                    <w14:schemeClr w14:val="tx1"/>
                  </w14:solidFill>
                </w14:textFill>
              </w:rPr>
              <w:t>0.13</w:t>
            </w:r>
          </w:p>
        </w:tc>
      </w:tr>
      <w:tr w14:paraId="435DB1F5">
        <w:tc>
          <w:tcPr>
            <w:tcW w:w="2763" w:type="dxa"/>
            <w:tcBorders>
              <w:top w:val="nil"/>
              <w:left w:val="nil"/>
              <w:bottom w:val="nil"/>
              <w:right w:val="nil"/>
            </w:tcBorders>
            <w:vAlign w:val="center"/>
          </w:tcPr>
          <w:p w14:paraId="5A5895D9">
            <w:pPr>
              <w:spacing w:line="360" w:lineRule="auto"/>
              <w:rPr>
                <w:rFonts w:ascii="Times New Roman" w:hAnsi="Times New Roman"/>
                <w:kern w:val="0"/>
                <w:sz w:val="24"/>
                <w:szCs w:val="24"/>
              </w:rPr>
            </w:pPr>
            <w:r>
              <w:rPr>
                <w:rFonts w:ascii="Times New Roman" w:hAnsi="Times New Roman"/>
                <w:color w:val="000000" w:themeColor="text1"/>
                <w:kern w:val="0"/>
                <w:sz w:val="24"/>
                <w:szCs w:val="24"/>
                <w14:textFill>
                  <w14:solidFill>
                    <w14:schemeClr w14:val="tx1"/>
                  </w14:solidFill>
                </w14:textFill>
              </w:rPr>
              <w:t>20-29</w:t>
            </w:r>
          </w:p>
        </w:tc>
        <w:tc>
          <w:tcPr>
            <w:tcW w:w="2763" w:type="dxa"/>
            <w:tcBorders>
              <w:top w:val="nil"/>
              <w:left w:val="nil"/>
              <w:bottom w:val="nil"/>
              <w:right w:val="nil"/>
            </w:tcBorders>
            <w:vAlign w:val="center"/>
          </w:tcPr>
          <w:p w14:paraId="137985D1">
            <w:pPr>
              <w:widowControl/>
              <w:jc w:val="center"/>
              <w:textAlignment w:val="center"/>
              <w:rPr>
                <w:rFonts w:ascii="Times New Roman Regular" w:hAnsi="Times New Roman Regular" w:eastAsia="Times New Roman"/>
                <w:kern w:val="0"/>
                <w:sz w:val="24"/>
                <w:szCs w:val="24"/>
              </w:rPr>
            </w:pPr>
            <w:r>
              <w:rPr>
                <w:rFonts w:ascii="Times New Roman Regular" w:hAnsi="Times New Roman Regular" w:eastAsia="DengXian"/>
                <w:color w:val="000000" w:themeColor="text1"/>
                <w:kern w:val="0"/>
                <w:sz w:val="24"/>
                <w:szCs w:val="24"/>
                <w14:textFill>
                  <w14:solidFill>
                    <w14:schemeClr w14:val="tx1"/>
                  </w14:solidFill>
                </w14:textFill>
              </w:rPr>
              <w:t>11</w:t>
            </w:r>
          </w:p>
        </w:tc>
        <w:tc>
          <w:tcPr>
            <w:tcW w:w="2764" w:type="dxa"/>
            <w:tcBorders>
              <w:top w:val="nil"/>
              <w:left w:val="nil"/>
              <w:bottom w:val="nil"/>
              <w:right w:val="nil"/>
            </w:tcBorders>
            <w:vAlign w:val="center"/>
          </w:tcPr>
          <w:p w14:paraId="380F708D">
            <w:pPr>
              <w:widowControl/>
              <w:jc w:val="center"/>
              <w:textAlignment w:val="center"/>
              <w:rPr>
                <w:rFonts w:ascii="Times New Roman Regular" w:hAnsi="Times New Roman Regular" w:eastAsia="Times New Roman"/>
                <w:kern w:val="0"/>
                <w:sz w:val="24"/>
                <w:szCs w:val="24"/>
              </w:rPr>
            </w:pPr>
            <w:r>
              <w:rPr>
                <w:rFonts w:ascii="Times New Roman Regular" w:hAnsi="Times New Roman Regular" w:eastAsia="Times New Roman"/>
                <w:color w:val="000000" w:themeColor="text1"/>
                <w:kern w:val="0"/>
                <w:sz w:val="24"/>
                <w:szCs w:val="24"/>
                <w14:textFill>
                  <w14:solidFill>
                    <w14:schemeClr w14:val="tx1"/>
                  </w14:solidFill>
                </w14:textFill>
              </w:rPr>
              <w:t>0.04</w:t>
            </w:r>
          </w:p>
        </w:tc>
      </w:tr>
      <w:tr w14:paraId="1B70ACA8">
        <w:tc>
          <w:tcPr>
            <w:tcW w:w="2763" w:type="dxa"/>
            <w:tcBorders>
              <w:top w:val="nil"/>
              <w:left w:val="nil"/>
              <w:bottom w:val="nil"/>
              <w:right w:val="nil"/>
            </w:tcBorders>
            <w:vAlign w:val="center"/>
          </w:tcPr>
          <w:p w14:paraId="7C80CA95">
            <w:pPr>
              <w:spacing w:line="360" w:lineRule="auto"/>
              <w:rPr>
                <w:rFonts w:ascii="Times New Roman" w:hAnsi="Times New Roman"/>
                <w:kern w:val="0"/>
                <w:sz w:val="24"/>
                <w:szCs w:val="24"/>
              </w:rPr>
            </w:pPr>
            <w:r>
              <w:rPr>
                <w:rFonts w:ascii="Times New Roman" w:hAnsi="Times New Roman"/>
                <w:color w:val="000000" w:themeColor="text1"/>
                <w:kern w:val="0"/>
                <w:sz w:val="24"/>
                <w:szCs w:val="24"/>
                <w14:textFill>
                  <w14:solidFill>
                    <w14:schemeClr w14:val="tx1"/>
                  </w14:solidFill>
                </w14:textFill>
              </w:rPr>
              <w:t>30-39</w:t>
            </w:r>
          </w:p>
        </w:tc>
        <w:tc>
          <w:tcPr>
            <w:tcW w:w="2763" w:type="dxa"/>
            <w:tcBorders>
              <w:top w:val="nil"/>
              <w:left w:val="nil"/>
              <w:bottom w:val="nil"/>
              <w:right w:val="nil"/>
            </w:tcBorders>
            <w:vAlign w:val="center"/>
          </w:tcPr>
          <w:p w14:paraId="73E8BA60">
            <w:pPr>
              <w:widowControl/>
              <w:jc w:val="center"/>
              <w:textAlignment w:val="center"/>
              <w:rPr>
                <w:rFonts w:ascii="Times New Roman Regular" w:hAnsi="Times New Roman Regular" w:eastAsia="Times New Roman"/>
                <w:kern w:val="0"/>
                <w:sz w:val="24"/>
                <w:szCs w:val="24"/>
              </w:rPr>
            </w:pPr>
            <w:r>
              <w:rPr>
                <w:rFonts w:ascii="Times New Roman Regular" w:hAnsi="Times New Roman Regular" w:eastAsia="DengXian"/>
                <w:color w:val="000000" w:themeColor="text1"/>
                <w:kern w:val="0"/>
                <w:sz w:val="24"/>
                <w:szCs w:val="24"/>
                <w14:textFill>
                  <w14:solidFill>
                    <w14:schemeClr w14:val="tx1"/>
                  </w14:solidFill>
                </w14:textFill>
              </w:rPr>
              <w:t>108</w:t>
            </w:r>
          </w:p>
        </w:tc>
        <w:tc>
          <w:tcPr>
            <w:tcW w:w="2764" w:type="dxa"/>
            <w:tcBorders>
              <w:top w:val="nil"/>
              <w:left w:val="nil"/>
              <w:bottom w:val="nil"/>
              <w:right w:val="nil"/>
            </w:tcBorders>
            <w:vAlign w:val="center"/>
          </w:tcPr>
          <w:p w14:paraId="4242E5A4">
            <w:pPr>
              <w:widowControl/>
              <w:jc w:val="center"/>
              <w:textAlignment w:val="center"/>
              <w:rPr>
                <w:rFonts w:ascii="Times New Roman Regular" w:hAnsi="Times New Roman Regular" w:eastAsia="Times New Roman"/>
                <w:kern w:val="0"/>
                <w:sz w:val="24"/>
                <w:szCs w:val="24"/>
              </w:rPr>
            </w:pPr>
            <w:r>
              <w:rPr>
                <w:rFonts w:ascii="Times New Roman Regular" w:hAnsi="Times New Roman Regular" w:eastAsia="Times New Roman"/>
                <w:color w:val="000000" w:themeColor="text1"/>
                <w:kern w:val="0"/>
                <w:sz w:val="24"/>
                <w:szCs w:val="24"/>
                <w14:textFill>
                  <w14:solidFill>
                    <w14:schemeClr w14:val="tx1"/>
                  </w14:solidFill>
                </w14:textFill>
              </w:rPr>
              <w:t>0.40</w:t>
            </w:r>
          </w:p>
        </w:tc>
      </w:tr>
      <w:tr w14:paraId="4D428929">
        <w:tc>
          <w:tcPr>
            <w:tcW w:w="2763" w:type="dxa"/>
            <w:tcBorders>
              <w:top w:val="nil"/>
              <w:left w:val="nil"/>
              <w:bottom w:val="nil"/>
              <w:right w:val="nil"/>
            </w:tcBorders>
            <w:vAlign w:val="center"/>
          </w:tcPr>
          <w:p w14:paraId="4C9C67F8">
            <w:pPr>
              <w:spacing w:line="360" w:lineRule="auto"/>
              <w:rPr>
                <w:rFonts w:ascii="Times New Roman" w:hAnsi="Times New Roman"/>
                <w:kern w:val="0"/>
                <w:sz w:val="24"/>
                <w:szCs w:val="24"/>
              </w:rPr>
            </w:pPr>
            <w:r>
              <w:rPr>
                <w:rFonts w:ascii="Times New Roman" w:hAnsi="Times New Roman"/>
                <w:color w:val="000000" w:themeColor="text1"/>
                <w:kern w:val="0"/>
                <w:sz w:val="24"/>
                <w:szCs w:val="24"/>
                <w14:textFill>
                  <w14:solidFill>
                    <w14:schemeClr w14:val="tx1"/>
                  </w14:solidFill>
                </w14:textFill>
              </w:rPr>
              <w:t>40-49</w:t>
            </w:r>
          </w:p>
        </w:tc>
        <w:tc>
          <w:tcPr>
            <w:tcW w:w="2763" w:type="dxa"/>
            <w:tcBorders>
              <w:top w:val="nil"/>
              <w:left w:val="nil"/>
              <w:bottom w:val="nil"/>
              <w:right w:val="nil"/>
            </w:tcBorders>
            <w:vAlign w:val="center"/>
          </w:tcPr>
          <w:p w14:paraId="274D851D">
            <w:pPr>
              <w:widowControl/>
              <w:jc w:val="center"/>
              <w:textAlignment w:val="center"/>
              <w:rPr>
                <w:rFonts w:ascii="Times New Roman Regular" w:hAnsi="Times New Roman Regular" w:eastAsia="Times New Roman"/>
                <w:kern w:val="0"/>
                <w:sz w:val="24"/>
                <w:szCs w:val="24"/>
              </w:rPr>
            </w:pPr>
            <w:r>
              <w:rPr>
                <w:rFonts w:ascii="Times New Roman Regular" w:hAnsi="Times New Roman Regular" w:eastAsia="DengXian"/>
                <w:color w:val="000000" w:themeColor="text1"/>
                <w:kern w:val="0"/>
                <w:sz w:val="24"/>
                <w:szCs w:val="24"/>
                <w14:textFill>
                  <w14:solidFill>
                    <w14:schemeClr w14:val="tx1"/>
                  </w14:solidFill>
                </w14:textFill>
              </w:rPr>
              <w:t>456</w:t>
            </w:r>
          </w:p>
        </w:tc>
        <w:tc>
          <w:tcPr>
            <w:tcW w:w="2764" w:type="dxa"/>
            <w:tcBorders>
              <w:top w:val="nil"/>
              <w:left w:val="nil"/>
              <w:bottom w:val="nil"/>
              <w:right w:val="nil"/>
            </w:tcBorders>
            <w:vAlign w:val="center"/>
          </w:tcPr>
          <w:p w14:paraId="63F87237">
            <w:pPr>
              <w:widowControl/>
              <w:jc w:val="center"/>
              <w:textAlignment w:val="center"/>
              <w:rPr>
                <w:rFonts w:ascii="Times New Roman Regular" w:hAnsi="Times New Roman Regular" w:eastAsia="Times New Roman"/>
                <w:kern w:val="0"/>
                <w:sz w:val="24"/>
                <w:szCs w:val="24"/>
              </w:rPr>
            </w:pPr>
            <w:r>
              <w:rPr>
                <w:rFonts w:ascii="Times New Roman Regular" w:hAnsi="Times New Roman Regular" w:eastAsia="Times New Roman"/>
                <w:color w:val="000000" w:themeColor="text1"/>
                <w:kern w:val="0"/>
                <w:sz w:val="24"/>
                <w:szCs w:val="24"/>
                <w14:textFill>
                  <w14:solidFill>
                    <w14:schemeClr w14:val="tx1"/>
                  </w14:solidFill>
                </w14:textFill>
              </w:rPr>
              <w:t>1.69</w:t>
            </w:r>
          </w:p>
        </w:tc>
      </w:tr>
      <w:tr w14:paraId="52AE3B4E">
        <w:tc>
          <w:tcPr>
            <w:tcW w:w="2763" w:type="dxa"/>
            <w:tcBorders>
              <w:top w:val="nil"/>
              <w:left w:val="nil"/>
              <w:bottom w:val="nil"/>
              <w:right w:val="nil"/>
            </w:tcBorders>
            <w:vAlign w:val="center"/>
          </w:tcPr>
          <w:p w14:paraId="0C94DA4A">
            <w:pPr>
              <w:spacing w:line="360" w:lineRule="auto"/>
              <w:rPr>
                <w:rFonts w:ascii="Times New Roman" w:hAnsi="Times New Roman"/>
                <w:kern w:val="0"/>
                <w:sz w:val="24"/>
                <w:szCs w:val="24"/>
              </w:rPr>
            </w:pPr>
            <w:r>
              <w:rPr>
                <w:rFonts w:ascii="Times New Roman" w:hAnsi="Times New Roman"/>
                <w:color w:val="000000" w:themeColor="text1"/>
                <w:kern w:val="0"/>
                <w:sz w:val="24"/>
                <w:szCs w:val="24"/>
                <w14:textFill>
                  <w14:solidFill>
                    <w14:schemeClr w14:val="tx1"/>
                  </w14:solidFill>
                </w14:textFill>
              </w:rPr>
              <w:t>50-59</w:t>
            </w:r>
          </w:p>
        </w:tc>
        <w:tc>
          <w:tcPr>
            <w:tcW w:w="2763" w:type="dxa"/>
            <w:tcBorders>
              <w:top w:val="nil"/>
              <w:left w:val="nil"/>
              <w:bottom w:val="nil"/>
              <w:right w:val="nil"/>
            </w:tcBorders>
            <w:vAlign w:val="center"/>
          </w:tcPr>
          <w:p w14:paraId="45870E0B">
            <w:pPr>
              <w:widowControl/>
              <w:jc w:val="center"/>
              <w:textAlignment w:val="center"/>
              <w:rPr>
                <w:rFonts w:ascii="Times New Roman Regular" w:hAnsi="Times New Roman Regular" w:eastAsia="Times New Roman"/>
                <w:kern w:val="0"/>
                <w:sz w:val="24"/>
                <w:szCs w:val="24"/>
              </w:rPr>
            </w:pPr>
            <w:r>
              <w:rPr>
                <w:rFonts w:ascii="Times New Roman Regular" w:hAnsi="Times New Roman Regular" w:eastAsia="DengXian"/>
                <w:color w:val="000000" w:themeColor="text1"/>
                <w:kern w:val="0"/>
                <w:sz w:val="24"/>
                <w:szCs w:val="24"/>
                <w14:textFill>
                  <w14:solidFill>
                    <w14:schemeClr w14:val="tx1"/>
                  </w14:solidFill>
                </w14:textFill>
              </w:rPr>
              <w:t>1250</w:t>
            </w:r>
          </w:p>
        </w:tc>
        <w:tc>
          <w:tcPr>
            <w:tcW w:w="2764" w:type="dxa"/>
            <w:tcBorders>
              <w:top w:val="nil"/>
              <w:left w:val="nil"/>
              <w:bottom w:val="nil"/>
              <w:right w:val="nil"/>
            </w:tcBorders>
            <w:vAlign w:val="center"/>
          </w:tcPr>
          <w:p w14:paraId="69328892">
            <w:pPr>
              <w:widowControl/>
              <w:jc w:val="center"/>
              <w:textAlignment w:val="center"/>
              <w:rPr>
                <w:rFonts w:ascii="Times New Roman Regular" w:hAnsi="Times New Roman Regular" w:eastAsia="Times New Roman"/>
                <w:kern w:val="0"/>
                <w:sz w:val="24"/>
                <w:szCs w:val="24"/>
              </w:rPr>
            </w:pPr>
            <w:r>
              <w:rPr>
                <w:rFonts w:ascii="Times New Roman Regular" w:hAnsi="Times New Roman Regular" w:eastAsia="Times New Roman"/>
                <w:color w:val="000000" w:themeColor="text1"/>
                <w:kern w:val="0"/>
                <w:sz w:val="24"/>
                <w:szCs w:val="24"/>
                <w14:textFill>
                  <w14:solidFill>
                    <w14:schemeClr w14:val="tx1"/>
                  </w14:solidFill>
                </w14:textFill>
              </w:rPr>
              <w:t>4.64</w:t>
            </w:r>
          </w:p>
        </w:tc>
      </w:tr>
      <w:tr w14:paraId="05F99D30">
        <w:tc>
          <w:tcPr>
            <w:tcW w:w="2763" w:type="dxa"/>
            <w:tcBorders>
              <w:top w:val="nil"/>
              <w:left w:val="nil"/>
              <w:bottom w:val="nil"/>
              <w:right w:val="nil"/>
            </w:tcBorders>
            <w:vAlign w:val="center"/>
          </w:tcPr>
          <w:p w14:paraId="0125F941">
            <w:pPr>
              <w:spacing w:line="360" w:lineRule="auto"/>
              <w:rPr>
                <w:rFonts w:ascii="Times New Roman" w:hAnsi="Times New Roman"/>
                <w:kern w:val="0"/>
                <w:sz w:val="24"/>
                <w:szCs w:val="24"/>
              </w:rPr>
            </w:pPr>
            <w:r>
              <w:rPr>
                <w:rFonts w:ascii="Times New Roman" w:hAnsi="Times New Roman"/>
                <w:color w:val="000000" w:themeColor="text1"/>
                <w:kern w:val="0"/>
                <w:sz w:val="24"/>
                <w:szCs w:val="24"/>
                <w14:textFill>
                  <w14:solidFill>
                    <w14:schemeClr w14:val="tx1"/>
                  </w14:solidFill>
                </w14:textFill>
              </w:rPr>
              <w:t>60-69</w:t>
            </w:r>
          </w:p>
        </w:tc>
        <w:tc>
          <w:tcPr>
            <w:tcW w:w="2763" w:type="dxa"/>
            <w:tcBorders>
              <w:top w:val="nil"/>
              <w:left w:val="nil"/>
              <w:bottom w:val="nil"/>
              <w:right w:val="nil"/>
            </w:tcBorders>
            <w:vAlign w:val="center"/>
          </w:tcPr>
          <w:p w14:paraId="28D7E4E4">
            <w:pPr>
              <w:widowControl/>
              <w:jc w:val="center"/>
              <w:textAlignment w:val="center"/>
              <w:rPr>
                <w:rFonts w:ascii="Times New Roman Regular" w:hAnsi="Times New Roman Regular" w:eastAsia="Times New Roman"/>
                <w:kern w:val="0"/>
                <w:sz w:val="24"/>
                <w:szCs w:val="24"/>
              </w:rPr>
            </w:pPr>
            <w:r>
              <w:rPr>
                <w:rFonts w:ascii="Times New Roman Regular" w:hAnsi="Times New Roman Regular" w:eastAsia="DengXian"/>
                <w:color w:val="000000" w:themeColor="text1"/>
                <w:kern w:val="0"/>
                <w:sz w:val="24"/>
                <w:szCs w:val="24"/>
                <w14:textFill>
                  <w14:solidFill>
                    <w14:schemeClr w14:val="tx1"/>
                  </w14:solidFill>
                </w14:textFill>
              </w:rPr>
              <w:t>2325</w:t>
            </w:r>
          </w:p>
        </w:tc>
        <w:tc>
          <w:tcPr>
            <w:tcW w:w="2764" w:type="dxa"/>
            <w:tcBorders>
              <w:top w:val="nil"/>
              <w:left w:val="nil"/>
              <w:bottom w:val="nil"/>
              <w:right w:val="nil"/>
            </w:tcBorders>
            <w:vAlign w:val="center"/>
          </w:tcPr>
          <w:p w14:paraId="7D74D418">
            <w:pPr>
              <w:widowControl/>
              <w:jc w:val="center"/>
              <w:textAlignment w:val="center"/>
              <w:rPr>
                <w:rFonts w:ascii="Times New Roman Regular" w:hAnsi="Times New Roman Regular" w:eastAsia="Times New Roman"/>
                <w:kern w:val="0"/>
                <w:sz w:val="24"/>
                <w:szCs w:val="24"/>
              </w:rPr>
            </w:pPr>
            <w:r>
              <w:rPr>
                <w:rFonts w:ascii="Times New Roman Regular" w:hAnsi="Times New Roman Regular" w:eastAsia="Times New Roman"/>
                <w:color w:val="000000" w:themeColor="text1"/>
                <w:kern w:val="0"/>
                <w:sz w:val="24"/>
                <w:szCs w:val="24"/>
                <w14:textFill>
                  <w14:solidFill>
                    <w14:schemeClr w14:val="tx1"/>
                  </w14:solidFill>
                </w14:textFill>
              </w:rPr>
              <w:t>8.62</w:t>
            </w:r>
          </w:p>
        </w:tc>
      </w:tr>
      <w:tr w14:paraId="784D290F">
        <w:tc>
          <w:tcPr>
            <w:tcW w:w="2763" w:type="dxa"/>
            <w:tcBorders>
              <w:top w:val="nil"/>
              <w:left w:val="nil"/>
              <w:bottom w:val="nil"/>
              <w:right w:val="nil"/>
            </w:tcBorders>
            <w:vAlign w:val="center"/>
          </w:tcPr>
          <w:p w14:paraId="540FEAEA">
            <w:pPr>
              <w:spacing w:line="360" w:lineRule="auto"/>
              <w:rPr>
                <w:rFonts w:ascii="Times New Roman" w:hAnsi="Times New Roman"/>
                <w:kern w:val="0"/>
                <w:sz w:val="24"/>
                <w:szCs w:val="24"/>
              </w:rPr>
            </w:pPr>
            <w:r>
              <w:rPr>
                <w:rFonts w:ascii="Times New Roman" w:hAnsi="Times New Roman"/>
                <w:color w:val="000000" w:themeColor="text1"/>
                <w:kern w:val="0"/>
                <w:sz w:val="24"/>
                <w:szCs w:val="24"/>
                <w14:textFill>
                  <w14:solidFill>
                    <w14:schemeClr w14:val="tx1"/>
                  </w14:solidFill>
                </w14:textFill>
              </w:rPr>
              <w:t>70-79</w:t>
            </w:r>
          </w:p>
        </w:tc>
        <w:tc>
          <w:tcPr>
            <w:tcW w:w="2763" w:type="dxa"/>
            <w:tcBorders>
              <w:top w:val="nil"/>
              <w:left w:val="nil"/>
              <w:bottom w:val="nil"/>
              <w:right w:val="nil"/>
            </w:tcBorders>
            <w:vAlign w:val="center"/>
          </w:tcPr>
          <w:p w14:paraId="01B400DB">
            <w:pPr>
              <w:widowControl/>
              <w:jc w:val="center"/>
              <w:textAlignment w:val="center"/>
              <w:rPr>
                <w:rFonts w:ascii="Times New Roman Regular" w:hAnsi="Times New Roman Regular" w:eastAsia="Times New Roman"/>
                <w:kern w:val="0"/>
                <w:sz w:val="24"/>
                <w:szCs w:val="24"/>
              </w:rPr>
            </w:pPr>
            <w:r>
              <w:rPr>
                <w:rFonts w:ascii="Times New Roman Regular" w:hAnsi="Times New Roman Regular" w:eastAsia="DengXian"/>
                <w:color w:val="000000" w:themeColor="text1"/>
                <w:kern w:val="0"/>
                <w:sz w:val="24"/>
                <w:szCs w:val="24"/>
                <w14:textFill>
                  <w14:solidFill>
                    <w14:schemeClr w14:val="tx1"/>
                  </w14:solidFill>
                </w14:textFill>
              </w:rPr>
              <w:t>2175</w:t>
            </w:r>
          </w:p>
        </w:tc>
        <w:tc>
          <w:tcPr>
            <w:tcW w:w="2764" w:type="dxa"/>
            <w:tcBorders>
              <w:top w:val="nil"/>
              <w:left w:val="nil"/>
              <w:bottom w:val="nil"/>
              <w:right w:val="nil"/>
            </w:tcBorders>
            <w:vAlign w:val="center"/>
          </w:tcPr>
          <w:p w14:paraId="71918FF9">
            <w:pPr>
              <w:widowControl/>
              <w:jc w:val="center"/>
              <w:textAlignment w:val="center"/>
              <w:rPr>
                <w:rFonts w:ascii="Times New Roman Regular" w:hAnsi="Times New Roman Regular" w:eastAsia="Times New Roman"/>
                <w:kern w:val="0"/>
                <w:sz w:val="24"/>
                <w:szCs w:val="24"/>
              </w:rPr>
            </w:pPr>
            <w:r>
              <w:rPr>
                <w:rFonts w:ascii="Times New Roman Regular" w:hAnsi="Times New Roman Regular" w:eastAsia="Times New Roman"/>
                <w:color w:val="000000" w:themeColor="text1"/>
                <w:kern w:val="0"/>
                <w:sz w:val="24"/>
                <w:szCs w:val="24"/>
                <w14:textFill>
                  <w14:solidFill>
                    <w14:schemeClr w14:val="tx1"/>
                  </w14:solidFill>
                </w14:textFill>
              </w:rPr>
              <w:t>8.07</w:t>
            </w:r>
          </w:p>
        </w:tc>
      </w:tr>
      <w:tr w14:paraId="3DB52A9D">
        <w:tc>
          <w:tcPr>
            <w:tcW w:w="2763" w:type="dxa"/>
            <w:tcBorders>
              <w:top w:val="nil"/>
              <w:left w:val="nil"/>
              <w:bottom w:val="nil"/>
              <w:right w:val="nil"/>
            </w:tcBorders>
            <w:vAlign w:val="center"/>
          </w:tcPr>
          <w:p w14:paraId="432D20E8">
            <w:pPr>
              <w:spacing w:line="360" w:lineRule="auto"/>
              <w:rPr>
                <w:rFonts w:ascii="Times New Roman" w:hAnsi="Times New Roman"/>
                <w:kern w:val="0"/>
                <w:sz w:val="24"/>
                <w:szCs w:val="24"/>
              </w:rPr>
            </w:pPr>
            <w:r>
              <w:rPr>
                <w:rFonts w:ascii="Times New Roman" w:hAnsi="Times New Roman"/>
                <w:color w:val="000000" w:themeColor="text1"/>
                <w:kern w:val="0"/>
                <w:sz w:val="24"/>
                <w:szCs w:val="24"/>
                <w14:textFill>
                  <w14:solidFill>
                    <w14:schemeClr w14:val="tx1"/>
                  </w14:solidFill>
                </w14:textFill>
              </w:rPr>
              <w:t>&gt;80</w:t>
            </w:r>
          </w:p>
        </w:tc>
        <w:tc>
          <w:tcPr>
            <w:tcW w:w="2763" w:type="dxa"/>
            <w:tcBorders>
              <w:top w:val="nil"/>
              <w:left w:val="nil"/>
              <w:bottom w:val="nil"/>
              <w:right w:val="nil"/>
            </w:tcBorders>
            <w:vAlign w:val="center"/>
          </w:tcPr>
          <w:p w14:paraId="355432E2">
            <w:pPr>
              <w:widowControl/>
              <w:jc w:val="center"/>
              <w:textAlignment w:val="center"/>
              <w:rPr>
                <w:rFonts w:ascii="Times New Roman Regular" w:hAnsi="Times New Roman Regular" w:eastAsia="Times New Roman"/>
                <w:kern w:val="0"/>
                <w:sz w:val="24"/>
                <w:szCs w:val="24"/>
              </w:rPr>
            </w:pPr>
            <w:r>
              <w:rPr>
                <w:rFonts w:ascii="Times New Roman Regular" w:hAnsi="Times New Roman Regular" w:eastAsia="DengXian"/>
                <w:color w:val="000000" w:themeColor="text1"/>
                <w:kern w:val="0"/>
                <w:sz w:val="24"/>
                <w:szCs w:val="24"/>
                <w14:textFill>
                  <w14:solidFill>
                    <w14:schemeClr w14:val="tx1"/>
                  </w14:solidFill>
                </w14:textFill>
              </w:rPr>
              <w:t>1159</w:t>
            </w:r>
          </w:p>
        </w:tc>
        <w:tc>
          <w:tcPr>
            <w:tcW w:w="2764" w:type="dxa"/>
            <w:tcBorders>
              <w:top w:val="nil"/>
              <w:left w:val="nil"/>
              <w:bottom w:val="nil"/>
              <w:right w:val="nil"/>
            </w:tcBorders>
            <w:vAlign w:val="center"/>
          </w:tcPr>
          <w:p w14:paraId="7A30D054">
            <w:pPr>
              <w:widowControl/>
              <w:jc w:val="center"/>
              <w:textAlignment w:val="center"/>
              <w:rPr>
                <w:rFonts w:ascii="Times New Roman Regular" w:hAnsi="Times New Roman Regular" w:eastAsia="Times New Roman"/>
                <w:kern w:val="0"/>
                <w:sz w:val="24"/>
                <w:szCs w:val="24"/>
              </w:rPr>
            </w:pPr>
            <w:r>
              <w:rPr>
                <w:rFonts w:ascii="Times New Roman Regular" w:hAnsi="Times New Roman Regular" w:eastAsia="Times New Roman"/>
                <w:color w:val="000000" w:themeColor="text1"/>
                <w:kern w:val="0"/>
                <w:sz w:val="24"/>
                <w:szCs w:val="24"/>
                <w14:textFill>
                  <w14:solidFill>
                    <w14:schemeClr w14:val="tx1"/>
                  </w14:solidFill>
                </w14:textFill>
              </w:rPr>
              <w:t>4.30</w:t>
            </w:r>
          </w:p>
        </w:tc>
      </w:tr>
      <w:tr w14:paraId="32C5024F">
        <w:tc>
          <w:tcPr>
            <w:tcW w:w="2763" w:type="dxa"/>
            <w:tcBorders>
              <w:top w:val="nil"/>
              <w:left w:val="nil"/>
              <w:bottom w:val="nil"/>
              <w:right w:val="nil"/>
            </w:tcBorders>
            <w:vAlign w:val="center"/>
          </w:tcPr>
          <w:p w14:paraId="6A30ABDD">
            <w:pPr>
              <w:spacing w:line="360" w:lineRule="auto"/>
              <w:rPr>
                <w:rFonts w:ascii="Times New Roman" w:hAnsi="Times New Roman"/>
                <w:kern w:val="0"/>
                <w:sz w:val="24"/>
                <w:szCs w:val="24"/>
              </w:rPr>
            </w:pPr>
            <w:r>
              <w:rPr>
                <w:rFonts w:ascii="Times New Roman" w:hAnsi="Times New Roman"/>
                <w:color w:val="000000" w:themeColor="text1"/>
                <w:kern w:val="0"/>
                <w:sz w:val="24"/>
                <w:szCs w:val="24"/>
                <w14:textFill>
                  <w14:solidFill>
                    <w14:schemeClr w14:val="tx1"/>
                  </w14:solidFill>
                </w14:textFill>
              </w:rPr>
              <w:t>Unknown</w:t>
            </w:r>
          </w:p>
        </w:tc>
        <w:tc>
          <w:tcPr>
            <w:tcW w:w="2763" w:type="dxa"/>
            <w:tcBorders>
              <w:top w:val="nil"/>
              <w:left w:val="nil"/>
              <w:bottom w:val="nil"/>
              <w:right w:val="nil"/>
            </w:tcBorders>
            <w:vAlign w:val="center"/>
          </w:tcPr>
          <w:p w14:paraId="683E2D87">
            <w:pPr>
              <w:widowControl/>
              <w:jc w:val="center"/>
              <w:textAlignment w:val="center"/>
              <w:rPr>
                <w:rFonts w:ascii="Times New Roman Regular" w:hAnsi="Times New Roman Regular" w:eastAsia="Times New Roman"/>
                <w:kern w:val="0"/>
                <w:sz w:val="24"/>
                <w:szCs w:val="24"/>
              </w:rPr>
            </w:pPr>
            <w:r>
              <w:rPr>
                <w:rFonts w:ascii="Times New Roman Regular" w:hAnsi="Times New Roman Regular" w:eastAsia="DengXian"/>
                <w:color w:val="000000" w:themeColor="text1"/>
                <w:kern w:val="0"/>
                <w:sz w:val="24"/>
                <w:szCs w:val="24"/>
                <w14:textFill>
                  <w14:solidFill>
                    <w14:schemeClr w14:val="tx1"/>
                  </w14:solidFill>
                </w14:textFill>
              </w:rPr>
              <w:t>19439</w:t>
            </w:r>
          </w:p>
        </w:tc>
        <w:tc>
          <w:tcPr>
            <w:tcW w:w="2764" w:type="dxa"/>
            <w:tcBorders>
              <w:top w:val="nil"/>
              <w:left w:val="nil"/>
              <w:bottom w:val="nil"/>
              <w:right w:val="nil"/>
            </w:tcBorders>
            <w:vAlign w:val="center"/>
          </w:tcPr>
          <w:p w14:paraId="346571A1">
            <w:pPr>
              <w:widowControl/>
              <w:jc w:val="center"/>
              <w:textAlignment w:val="center"/>
              <w:rPr>
                <w:rFonts w:ascii="Times New Roman Regular" w:hAnsi="Times New Roman Regular" w:eastAsia="Times New Roman"/>
                <w:kern w:val="0"/>
                <w:sz w:val="24"/>
                <w:szCs w:val="24"/>
              </w:rPr>
            </w:pPr>
            <w:r>
              <w:rPr>
                <w:rFonts w:ascii="Times New Roman Regular" w:hAnsi="Times New Roman Regular" w:eastAsia="Times New Roman"/>
                <w:color w:val="000000" w:themeColor="text1"/>
                <w:kern w:val="0"/>
                <w:sz w:val="24"/>
                <w:szCs w:val="24"/>
                <w14:textFill>
                  <w14:solidFill>
                    <w14:schemeClr w14:val="tx1"/>
                  </w14:solidFill>
                </w14:textFill>
              </w:rPr>
              <w:t>72.11</w:t>
            </w:r>
          </w:p>
        </w:tc>
      </w:tr>
      <w:tr w14:paraId="682E9B27">
        <w:tc>
          <w:tcPr>
            <w:tcW w:w="8290" w:type="dxa"/>
            <w:gridSpan w:val="3"/>
            <w:tcBorders>
              <w:top w:val="nil"/>
              <w:left w:val="nil"/>
              <w:bottom w:val="nil"/>
              <w:right w:val="nil"/>
            </w:tcBorders>
          </w:tcPr>
          <w:p w14:paraId="4AF65BDA">
            <w:pPr>
              <w:spacing w:line="360" w:lineRule="auto"/>
              <w:jc w:val="left"/>
              <w:rPr>
                <w:rFonts w:ascii="Times New Roman" w:hAnsi="Times New Roman"/>
                <w:kern w:val="0"/>
                <w:sz w:val="24"/>
                <w:szCs w:val="24"/>
              </w:rPr>
            </w:pPr>
            <w:r>
              <w:rPr>
                <w:rFonts w:ascii="Times New Roman" w:hAnsi="Times New Roman"/>
                <w:b/>
                <w:bCs/>
                <w:color w:val="000000" w:themeColor="text1"/>
                <w:kern w:val="0"/>
                <w:sz w:val="24"/>
                <w:szCs w:val="24"/>
                <w14:textFill>
                  <w14:solidFill>
                    <w14:schemeClr w14:val="tx1"/>
                  </w14:solidFill>
                </w14:textFill>
              </w:rPr>
              <w:t>Reported Countries (the top ranked)</w:t>
            </w:r>
          </w:p>
        </w:tc>
      </w:tr>
      <w:tr w14:paraId="3F3AB51A">
        <w:tc>
          <w:tcPr>
            <w:tcW w:w="2763" w:type="dxa"/>
            <w:tcBorders>
              <w:top w:val="nil"/>
              <w:left w:val="nil"/>
              <w:bottom w:val="nil"/>
              <w:right w:val="nil"/>
            </w:tcBorders>
            <w:vAlign w:val="center"/>
          </w:tcPr>
          <w:p w14:paraId="5F0302A7">
            <w:pPr>
              <w:widowControl/>
              <w:jc w:val="left"/>
              <w:textAlignment w:val="center"/>
              <w:rPr>
                <w:rFonts w:ascii="Times New Roman Regular" w:hAnsi="Times New Roman Regular" w:eastAsia="Times New Roman"/>
                <w:kern w:val="0"/>
                <w:sz w:val="24"/>
                <w:szCs w:val="24"/>
              </w:rPr>
            </w:pPr>
            <w:r>
              <w:rPr>
                <w:rFonts w:ascii="Times New Roman Regular" w:hAnsi="Times New Roman Regular" w:eastAsia="DengXian"/>
                <w:color w:val="000000" w:themeColor="text1"/>
                <w:kern w:val="0"/>
                <w:sz w:val="24"/>
                <w:szCs w:val="24"/>
                <w14:textFill>
                  <w14:solidFill>
                    <w14:schemeClr w14:val="tx1"/>
                  </w14:solidFill>
                </w14:textFill>
              </w:rPr>
              <w:t>US</w:t>
            </w:r>
            <w:r>
              <w:rPr>
                <w:rFonts w:hint="eastAsia" w:ascii="Times New Roman Regular" w:hAnsi="Times New Roman Regular" w:eastAsia="DengXian"/>
                <w:color w:val="000000" w:themeColor="text1"/>
                <w:kern w:val="0"/>
                <w:sz w:val="24"/>
                <w:szCs w:val="24"/>
                <w14:textFill>
                  <w14:solidFill>
                    <w14:schemeClr w14:val="tx1"/>
                  </w14:solidFill>
                </w14:textFill>
              </w:rPr>
              <w:t xml:space="preserve"> </w:t>
            </w:r>
            <w:r>
              <w:rPr>
                <w:rFonts w:ascii="Times New Roman Regular" w:hAnsi="Times New Roman Regular" w:eastAsia="DengXian"/>
                <w:color w:val="000000" w:themeColor="text1"/>
                <w:kern w:val="0"/>
                <w:sz w:val="24"/>
                <w:szCs w:val="24"/>
                <w14:textFill>
                  <w14:solidFill>
                    <w14:schemeClr w14:val="tx1"/>
                  </w14:solidFill>
                </w14:textFill>
              </w:rPr>
              <w:t>(United States)</w:t>
            </w:r>
          </w:p>
        </w:tc>
        <w:tc>
          <w:tcPr>
            <w:tcW w:w="2763" w:type="dxa"/>
            <w:tcBorders>
              <w:top w:val="nil"/>
              <w:left w:val="nil"/>
              <w:bottom w:val="nil"/>
              <w:right w:val="nil"/>
            </w:tcBorders>
            <w:vAlign w:val="center"/>
          </w:tcPr>
          <w:p w14:paraId="1189B88E">
            <w:pPr>
              <w:widowControl/>
              <w:jc w:val="center"/>
              <w:textAlignment w:val="center"/>
              <w:rPr>
                <w:rFonts w:ascii="Times New Roman Regular" w:hAnsi="Times New Roman Regular" w:eastAsia="Times New Roman"/>
                <w:kern w:val="0"/>
                <w:sz w:val="24"/>
                <w:szCs w:val="24"/>
              </w:rPr>
            </w:pPr>
            <w:r>
              <w:rPr>
                <w:rFonts w:ascii="Times New Roman Regular" w:hAnsi="Times New Roman Regular" w:eastAsia="DengXian"/>
                <w:color w:val="000000" w:themeColor="text1"/>
                <w:kern w:val="0"/>
                <w:sz w:val="24"/>
                <w:szCs w:val="24"/>
                <w14:textFill>
                  <w14:solidFill>
                    <w14:schemeClr w14:val="tx1"/>
                  </w14:solidFill>
                </w14:textFill>
              </w:rPr>
              <w:t>18124</w:t>
            </w:r>
          </w:p>
        </w:tc>
        <w:tc>
          <w:tcPr>
            <w:tcW w:w="2764" w:type="dxa"/>
            <w:tcBorders>
              <w:top w:val="nil"/>
              <w:left w:val="nil"/>
              <w:bottom w:val="nil"/>
              <w:right w:val="nil"/>
            </w:tcBorders>
            <w:vAlign w:val="center"/>
          </w:tcPr>
          <w:p w14:paraId="6B79EB09">
            <w:pPr>
              <w:widowControl/>
              <w:jc w:val="center"/>
              <w:textAlignment w:val="center"/>
              <w:rPr>
                <w:rFonts w:ascii="Times New Roman Regular" w:hAnsi="Times New Roman Regular" w:eastAsia="Times New Roman"/>
                <w:kern w:val="0"/>
                <w:sz w:val="24"/>
                <w:szCs w:val="24"/>
              </w:rPr>
            </w:pPr>
            <w:r>
              <w:rPr>
                <w:rFonts w:ascii="Times New Roman Regular" w:hAnsi="Times New Roman Regular" w:eastAsia="Times New Roman"/>
                <w:color w:val="000000" w:themeColor="text1"/>
                <w:kern w:val="0"/>
                <w:sz w:val="24"/>
                <w:szCs w:val="24"/>
                <w14:textFill>
                  <w14:solidFill>
                    <w14:schemeClr w14:val="tx1"/>
                  </w14:solidFill>
                </w14:textFill>
              </w:rPr>
              <w:t>67.23</w:t>
            </w:r>
          </w:p>
        </w:tc>
      </w:tr>
      <w:tr w14:paraId="58D7BCF4">
        <w:tc>
          <w:tcPr>
            <w:tcW w:w="2763" w:type="dxa"/>
            <w:tcBorders>
              <w:top w:val="nil"/>
              <w:left w:val="nil"/>
              <w:bottom w:val="nil"/>
              <w:right w:val="nil"/>
            </w:tcBorders>
            <w:vAlign w:val="center"/>
          </w:tcPr>
          <w:p w14:paraId="4A427173">
            <w:pPr>
              <w:widowControl/>
              <w:jc w:val="left"/>
              <w:textAlignment w:val="center"/>
              <w:rPr>
                <w:rFonts w:ascii="Times New Roman Regular" w:hAnsi="Times New Roman Regular" w:eastAsia="Times New Roman"/>
                <w:kern w:val="0"/>
                <w:sz w:val="24"/>
                <w:szCs w:val="24"/>
              </w:rPr>
            </w:pPr>
            <w:r>
              <w:rPr>
                <w:rFonts w:ascii="Times New Roman Regular" w:hAnsi="Times New Roman Regular" w:eastAsia="DengXian"/>
                <w:color w:val="000000" w:themeColor="text1"/>
                <w:kern w:val="0"/>
                <w:sz w:val="24"/>
                <w:szCs w:val="24"/>
                <w14:textFill>
                  <w14:solidFill>
                    <w14:schemeClr w14:val="tx1"/>
                  </w14:solidFill>
                </w14:textFill>
              </w:rPr>
              <w:t>JP</w:t>
            </w:r>
            <w:r>
              <w:rPr>
                <w:rFonts w:hint="eastAsia" w:ascii="Times New Roman Regular" w:hAnsi="Times New Roman Regular" w:eastAsia="DengXian"/>
                <w:color w:val="000000" w:themeColor="text1"/>
                <w:kern w:val="0"/>
                <w:sz w:val="24"/>
                <w:szCs w:val="24"/>
                <w14:textFill>
                  <w14:solidFill>
                    <w14:schemeClr w14:val="tx1"/>
                  </w14:solidFill>
                </w14:textFill>
              </w:rPr>
              <w:t xml:space="preserve"> </w:t>
            </w:r>
            <w:r>
              <w:rPr>
                <w:rFonts w:ascii="Times New Roman Regular" w:hAnsi="Times New Roman Regular" w:eastAsia="DengXian"/>
                <w:color w:val="000000" w:themeColor="text1"/>
                <w:kern w:val="0"/>
                <w:sz w:val="24"/>
                <w:szCs w:val="24"/>
                <w14:textFill>
                  <w14:solidFill>
                    <w14:schemeClr w14:val="tx1"/>
                  </w14:solidFill>
                </w14:textFill>
              </w:rPr>
              <w:t>(Japan)</w:t>
            </w:r>
          </w:p>
        </w:tc>
        <w:tc>
          <w:tcPr>
            <w:tcW w:w="2763" w:type="dxa"/>
            <w:tcBorders>
              <w:top w:val="nil"/>
              <w:left w:val="nil"/>
              <w:bottom w:val="nil"/>
              <w:right w:val="nil"/>
            </w:tcBorders>
            <w:vAlign w:val="center"/>
          </w:tcPr>
          <w:p w14:paraId="72071BCC">
            <w:pPr>
              <w:widowControl/>
              <w:jc w:val="center"/>
              <w:textAlignment w:val="center"/>
              <w:rPr>
                <w:rFonts w:ascii="Times New Roman Regular" w:hAnsi="Times New Roman Regular" w:eastAsia="Times New Roman"/>
                <w:kern w:val="0"/>
                <w:sz w:val="24"/>
                <w:szCs w:val="24"/>
              </w:rPr>
            </w:pPr>
            <w:r>
              <w:rPr>
                <w:rFonts w:ascii="Times New Roman Regular" w:hAnsi="Times New Roman Regular" w:eastAsia="DengXian"/>
                <w:color w:val="000000" w:themeColor="text1"/>
                <w:kern w:val="0"/>
                <w:sz w:val="24"/>
                <w:szCs w:val="24"/>
                <w14:textFill>
                  <w14:solidFill>
                    <w14:schemeClr w14:val="tx1"/>
                  </w14:solidFill>
                </w14:textFill>
              </w:rPr>
              <w:t>422</w:t>
            </w:r>
          </w:p>
        </w:tc>
        <w:tc>
          <w:tcPr>
            <w:tcW w:w="2764" w:type="dxa"/>
            <w:tcBorders>
              <w:top w:val="nil"/>
              <w:left w:val="nil"/>
              <w:bottom w:val="nil"/>
              <w:right w:val="nil"/>
            </w:tcBorders>
            <w:vAlign w:val="center"/>
          </w:tcPr>
          <w:p w14:paraId="15C244D8">
            <w:pPr>
              <w:widowControl/>
              <w:jc w:val="center"/>
              <w:textAlignment w:val="center"/>
              <w:rPr>
                <w:rFonts w:ascii="Times New Roman Regular" w:hAnsi="Times New Roman Regular" w:eastAsia="Times New Roman"/>
                <w:kern w:val="0"/>
                <w:sz w:val="24"/>
                <w:szCs w:val="24"/>
              </w:rPr>
            </w:pPr>
            <w:r>
              <w:rPr>
                <w:rFonts w:ascii="Times New Roman Regular" w:hAnsi="Times New Roman Regular" w:eastAsia="Times New Roman"/>
                <w:color w:val="000000" w:themeColor="text1"/>
                <w:kern w:val="0"/>
                <w:sz w:val="24"/>
                <w:szCs w:val="24"/>
                <w14:textFill>
                  <w14:solidFill>
                    <w14:schemeClr w14:val="tx1"/>
                  </w14:solidFill>
                </w14:textFill>
              </w:rPr>
              <w:t>1.57</w:t>
            </w:r>
          </w:p>
        </w:tc>
      </w:tr>
      <w:tr w14:paraId="44FC52FD">
        <w:tc>
          <w:tcPr>
            <w:tcW w:w="2763" w:type="dxa"/>
            <w:tcBorders>
              <w:top w:val="nil"/>
              <w:left w:val="nil"/>
              <w:bottom w:val="nil"/>
              <w:right w:val="nil"/>
            </w:tcBorders>
            <w:vAlign w:val="center"/>
          </w:tcPr>
          <w:p w14:paraId="6778B61A">
            <w:pPr>
              <w:widowControl/>
              <w:jc w:val="left"/>
              <w:textAlignment w:val="center"/>
              <w:rPr>
                <w:rFonts w:ascii="Times New Roman Regular" w:hAnsi="Times New Roman Regular" w:eastAsia="Times New Roman"/>
                <w:kern w:val="0"/>
                <w:sz w:val="24"/>
                <w:szCs w:val="24"/>
              </w:rPr>
            </w:pPr>
            <w:r>
              <w:rPr>
                <w:rFonts w:ascii="Times New Roman Regular" w:hAnsi="Times New Roman Regular" w:eastAsia="DengXian"/>
                <w:color w:val="000000" w:themeColor="text1"/>
                <w:kern w:val="0"/>
                <w:sz w:val="24"/>
                <w:szCs w:val="24"/>
                <w14:textFill>
                  <w14:solidFill>
                    <w14:schemeClr w14:val="tx1"/>
                  </w14:solidFill>
                </w14:textFill>
              </w:rPr>
              <w:t>CN</w:t>
            </w:r>
            <w:r>
              <w:rPr>
                <w:rFonts w:hint="eastAsia" w:ascii="Times New Roman Regular" w:hAnsi="Times New Roman Regular" w:eastAsia="DengXian"/>
                <w:color w:val="000000" w:themeColor="text1"/>
                <w:kern w:val="0"/>
                <w:sz w:val="24"/>
                <w:szCs w:val="24"/>
                <w14:textFill>
                  <w14:solidFill>
                    <w14:schemeClr w14:val="tx1"/>
                  </w14:solidFill>
                </w14:textFill>
              </w:rPr>
              <w:t xml:space="preserve"> </w:t>
            </w:r>
            <w:r>
              <w:rPr>
                <w:rFonts w:ascii="Times New Roman Regular" w:hAnsi="Times New Roman Regular" w:eastAsia="DengXian"/>
                <w:color w:val="000000" w:themeColor="text1"/>
                <w:kern w:val="0"/>
                <w:sz w:val="24"/>
                <w:szCs w:val="24"/>
                <w14:textFill>
                  <w14:solidFill>
                    <w14:schemeClr w14:val="tx1"/>
                  </w14:solidFill>
                </w14:textFill>
              </w:rPr>
              <w:t>(China)</w:t>
            </w:r>
          </w:p>
        </w:tc>
        <w:tc>
          <w:tcPr>
            <w:tcW w:w="2763" w:type="dxa"/>
            <w:tcBorders>
              <w:top w:val="nil"/>
              <w:left w:val="nil"/>
              <w:bottom w:val="nil"/>
              <w:right w:val="nil"/>
            </w:tcBorders>
            <w:vAlign w:val="center"/>
          </w:tcPr>
          <w:p w14:paraId="1CEEFF01">
            <w:pPr>
              <w:widowControl/>
              <w:jc w:val="center"/>
              <w:textAlignment w:val="center"/>
              <w:rPr>
                <w:rFonts w:ascii="Times New Roman Regular" w:hAnsi="Times New Roman Regular" w:eastAsia="Times New Roman"/>
                <w:kern w:val="0"/>
                <w:sz w:val="24"/>
                <w:szCs w:val="24"/>
              </w:rPr>
            </w:pPr>
            <w:r>
              <w:rPr>
                <w:rFonts w:ascii="Times New Roman Regular" w:hAnsi="Times New Roman Regular" w:eastAsia="DengXian"/>
                <w:color w:val="000000" w:themeColor="text1"/>
                <w:kern w:val="0"/>
                <w:sz w:val="24"/>
                <w:szCs w:val="24"/>
                <w14:textFill>
                  <w14:solidFill>
                    <w14:schemeClr w14:val="tx1"/>
                  </w14:solidFill>
                </w14:textFill>
              </w:rPr>
              <w:t>334</w:t>
            </w:r>
          </w:p>
        </w:tc>
        <w:tc>
          <w:tcPr>
            <w:tcW w:w="2764" w:type="dxa"/>
            <w:tcBorders>
              <w:top w:val="nil"/>
              <w:left w:val="nil"/>
              <w:bottom w:val="nil"/>
              <w:right w:val="nil"/>
            </w:tcBorders>
            <w:vAlign w:val="center"/>
          </w:tcPr>
          <w:p w14:paraId="17B990FF">
            <w:pPr>
              <w:widowControl/>
              <w:jc w:val="center"/>
              <w:textAlignment w:val="center"/>
              <w:rPr>
                <w:rFonts w:ascii="Times New Roman Regular" w:hAnsi="Times New Roman Regular" w:eastAsia="Times New Roman"/>
                <w:kern w:val="0"/>
                <w:sz w:val="24"/>
                <w:szCs w:val="24"/>
              </w:rPr>
            </w:pPr>
            <w:r>
              <w:rPr>
                <w:rFonts w:ascii="Times New Roman Regular" w:hAnsi="Times New Roman Regular" w:eastAsia="Times New Roman"/>
                <w:color w:val="000000" w:themeColor="text1"/>
                <w:kern w:val="0"/>
                <w:sz w:val="24"/>
                <w:szCs w:val="24"/>
                <w14:textFill>
                  <w14:solidFill>
                    <w14:schemeClr w14:val="tx1"/>
                  </w14:solidFill>
                </w14:textFill>
              </w:rPr>
              <w:t>1.24</w:t>
            </w:r>
          </w:p>
        </w:tc>
      </w:tr>
      <w:tr w14:paraId="1058B9E2">
        <w:tc>
          <w:tcPr>
            <w:tcW w:w="2763" w:type="dxa"/>
            <w:tcBorders>
              <w:top w:val="nil"/>
              <w:left w:val="nil"/>
              <w:bottom w:val="nil"/>
              <w:right w:val="nil"/>
            </w:tcBorders>
            <w:vAlign w:val="center"/>
          </w:tcPr>
          <w:p w14:paraId="1F089146">
            <w:pPr>
              <w:widowControl/>
              <w:jc w:val="left"/>
              <w:textAlignment w:val="center"/>
              <w:rPr>
                <w:rFonts w:ascii="Times New Roman Regular" w:hAnsi="Times New Roman Regular" w:eastAsia="Times New Roman"/>
                <w:kern w:val="0"/>
                <w:sz w:val="24"/>
                <w:szCs w:val="24"/>
              </w:rPr>
            </w:pPr>
            <w:r>
              <w:rPr>
                <w:rFonts w:ascii="Times New Roman Regular" w:hAnsi="Times New Roman Regular" w:eastAsia="DengXian"/>
                <w:color w:val="000000" w:themeColor="text1"/>
                <w:kern w:val="0"/>
                <w:sz w:val="24"/>
                <w:szCs w:val="24"/>
                <w14:textFill>
                  <w14:solidFill>
                    <w14:schemeClr w14:val="tx1"/>
                  </w14:solidFill>
                </w14:textFill>
              </w:rPr>
              <w:t>UK</w:t>
            </w:r>
            <w:r>
              <w:rPr>
                <w:rFonts w:hint="eastAsia" w:ascii="Times New Roman Regular" w:hAnsi="Times New Roman Regular" w:eastAsia="DengXian"/>
                <w:color w:val="000000" w:themeColor="text1"/>
                <w:kern w:val="0"/>
                <w:sz w:val="24"/>
                <w:szCs w:val="24"/>
                <w14:textFill>
                  <w14:solidFill>
                    <w14:schemeClr w14:val="tx1"/>
                  </w14:solidFill>
                </w14:textFill>
              </w:rPr>
              <w:t xml:space="preserve"> </w:t>
            </w:r>
            <w:r>
              <w:rPr>
                <w:rFonts w:ascii="Times New Roman Regular" w:hAnsi="Times New Roman Regular" w:eastAsia="DengXian"/>
                <w:color w:val="000000" w:themeColor="text1"/>
                <w:kern w:val="0"/>
                <w:sz w:val="24"/>
                <w:szCs w:val="24"/>
                <w14:textFill>
                  <w14:solidFill>
                    <w14:schemeClr w14:val="tx1"/>
                  </w14:solidFill>
                </w14:textFill>
              </w:rPr>
              <w:t>(United Kingdom)</w:t>
            </w:r>
          </w:p>
        </w:tc>
        <w:tc>
          <w:tcPr>
            <w:tcW w:w="2763" w:type="dxa"/>
            <w:tcBorders>
              <w:top w:val="nil"/>
              <w:left w:val="nil"/>
              <w:bottom w:val="nil"/>
              <w:right w:val="nil"/>
            </w:tcBorders>
            <w:vAlign w:val="center"/>
          </w:tcPr>
          <w:p w14:paraId="26B9EA58">
            <w:pPr>
              <w:widowControl/>
              <w:jc w:val="center"/>
              <w:textAlignment w:val="center"/>
              <w:rPr>
                <w:rFonts w:ascii="Times New Roman Regular" w:hAnsi="Times New Roman Regular" w:eastAsia="Times New Roman"/>
                <w:kern w:val="0"/>
                <w:sz w:val="24"/>
                <w:szCs w:val="24"/>
              </w:rPr>
            </w:pPr>
            <w:r>
              <w:rPr>
                <w:rFonts w:ascii="Times New Roman Regular" w:hAnsi="Times New Roman Regular" w:eastAsia="DengXian"/>
                <w:color w:val="000000" w:themeColor="text1"/>
                <w:kern w:val="0"/>
                <w:sz w:val="24"/>
                <w:szCs w:val="24"/>
                <w14:textFill>
                  <w14:solidFill>
                    <w14:schemeClr w14:val="tx1"/>
                  </w14:solidFill>
                </w14:textFill>
              </w:rPr>
              <w:t>264</w:t>
            </w:r>
          </w:p>
        </w:tc>
        <w:tc>
          <w:tcPr>
            <w:tcW w:w="2764" w:type="dxa"/>
            <w:tcBorders>
              <w:top w:val="nil"/>
              <w:left w:val="nil"/>
              <w:bottom w:val="nil"/>
              <w:right w:val="nil"/>
            </w:tcBorders>
            <w:vAlign w:val="center"/>
          </w:tcPr>
          <w:p w14:paraId="4560097C">
            <w:pPr>
              <w:widowControl/>
              <w:jc w:val="center"/>
              <w:textAlignment w:val="center"/>
              <w:rPr>
                <w:rFonts w:ascii="Times New Roman Regular" w:hAnsi="Times New Roman Regular" w:eastAsia="Times New Roman"/>
                <w:kern w:val="0"/>
                <w:sz w:val="24"/>
                <w:szCs w:val="24"/>
              </w:rPr>
            </w:pPr>
            <w:r>
              <w:rPr>
                <w:rFonts w:ascii="Times New Roman Regular" w:hAnsi="Times New Roman Regular" w:eastAsia="Times New Roman"/>
                <w:color w:val="000000" w:themeColor="text1"/>
                <w:kern w:val="0"/>
                <w:sz w:val="24"/>
                <w:szCs w:val="24"/>
                <w14:textFill>
                  <w14:solidFill>
                    <w14:schemeClr w14:val="tx1"/>
                  </w14:solidFill>
                </w14:textFill>
              </w:rPr>
              <w:t>0.98</w:t>
            </w:r>
          </w:p>
        </w:tc>
      </w:tr>
      <w:tr w14:paraId="7142CD8A">
        <w:tc>
          <w:tcPr>
            <w:tcW w:w="2763" w:type="dxa"/>
            <w:tcBorders>
              <w:top w:val="nil"/>
              <w:left w:val="nil"/>
              <w:bottom w:val="nil"/>
              <w:right w:val="nil"/>
            </w:tcBorders>
            <w:vAlign w:val="center"/>
          </w:tcPr>
          <w:p w14:paraId="36DFD2CB">
            <w:pPr>
              <w:widowControl/>
              <w:jc w:val="left"/>
              <w:textAlignment w:val="center"/>
              <w:rPr>
                <w:rFonts w:ascii="Times New Roman Regular" w:hAnsi="Times New Roman Regular" w:eastAsia="Times New Roman"/>
                <w:kern w:val="0"/>
                <w:sz w:val="24"/>
                <w:szCs w:val="24"/>
              </w:rPr>
            </w:pPr>
            <w:r>
              <w:rPr>
                <w:rFonts w:ascii="Times New Roman Regular" w:hAnsi="Times New Roman Regular" w:eastAsia="DengXian"/>
                <w:color w:val="000000" w:themeColor="text1"/>
                <w:kern w:val="0"/>
                <w:sz w:val="24"/>
                <w:szCs w:val="24"/>
                <w14:textFill>
                  <w14:solidFill>
                    <w14:schemeClr w14:val="tx1"/>
                  </w14:solidFill>
                </w14:textFill>
              </w:rPr>
              <w:t>FR</w:t>
            </w:r>
            <w:r>
              <w:rPr>
                <w:rFonts w:hint="eastAsia" w:ascii="Times New Roman Regular" w:hAnsi="Times New Roman Regular" w:eastAsia="DengXian"/>
                <w:color w:val="000000" w:themeColor="text1"/>
                <w:kern w:val="0"/>
                <w:sz w:val="24"/>
                <w:szCs w:val="24"/>
                <w14:textFill>
                  <w14:solidFill>
                    <w14:schemeClr w14:val="tx1"/>
                  </w14:solidFill>
                </w14:textFill>
              </w:rPr>
              <w:t xml:space="preserve"> </w:t>
            </w:r>
            <w:r>
              <w:rPr>
                <w:rFonts w:ascii="Times New Roman Regular" w:hAnsi="Times New Roman Regular" w:eastAsia="DengXian"/>
                <w:color w:val="000000" w:themeColor="text1"/>
                <w:kern w:val="0"/>
                <w:sz w:val="24"/>
                <w:szCs w:val="24"/>
                <w14:textFill>
                  <w14:solidFill>
                    <w14:schemeClr w14:val="tx1"/>
                  </w14:solidFill>
                </w14:textFill>
              </w:rPr>
              <w:t>(France)</w:t>
            </w:r>
          </w:p>
        </w:tc>
        <w:tc>
          <w:tcPr>
            <w:tcW w:w="2763" w:type="dxa"/>
            <w:tcBorders>
              <w:top w:val="nil"/>
              <w:left w:val="nil"/>
              <w:bottom w:val="nil"/>
              <w:right w:val="nil"/>
            </w:tcBorders>
            <w:vAlign w:val="center"/>
          </w:tcPr>
          <w:p w14:paraId="43A6785C">
            <w:pPr>
              <w:widowControl/>
              <w:jc w:val="center"/>
              <w:textAlignment w:val="center"/>
              <w:rPr>
                <w:rFonts w:ascii="Times New Roman Regular" w:hAnsi="Times New Roman Regular" w:eastAsia="Times New Roman"/>
                <w:kern w:val="0"/>
                <w:sz w:val="24"/>
                <w:szCs w:val="24"/>
              </w:rPr>
            </w:pPr>
            <w:r>
              <w:rPr>
                <w:rFonts w:ascii="Times New Roman Regular" w:hAnsi="Times New Roman Regular" w:eastAsia="DengXian"/>
                <w:color w:val="000000" w:themeColor="text1"/>
                <w:kern w:val="0"/>
                <w:sz w:val="24"/>
                <w:szCs w:val="24"/>
                <w14:textFill>
                  <w14:solidFill>
                    <w14:schemeClr w14:val="tx1"/>
                  </w14:solidFill>
                </w14:textFill>
              </w:rPr>
              <w:t>264</w:t>
            </w:r>
          </w:p>
        </w:tc>
        <w:tc>
          <w:tcPr>
            <w:tcW w:w="2764" w:type="dxa"/>
            <w:tcBorders>
              <w:top w:val="nil"/>
              <w:left w:val="nil"/>
              <w:bottom w:val="nil"/>
              <w:right w:val="nil"/>
            </w:tcBorders>
            <w:vAlign w:val="center"/>
          </w:tcPr>
          <w:p w14:paraId="64642741">
            <w:pPr>
              <w:widowControl/>
              <w:jc w:val="center"/>
              <w:textAlignment w:val="center"/>
              <w:rPr>
                <w:rFonts w:ascii="Times New Roman Regular" w:hAnsi="Times New Roman Regular" w:eastAsia="Times New Roman"/>
                <w:kern w:val="0"/>
                <w:sz w:val="24"/>
                <w:szCs w:val="24"/>
              </w:rPr>
            </w:pPr>
            <w:r>
              <w:rPr>
                <w:rFonts w:ascii="Times New Roman Regular" w:hAnsi="Times New Roman Regular" w:eastAsia="Times New Roman"/>
                <w:color w:val="000000" w:themeColor="text1"/>
                <w:kern w:val="0"/>
                <w:sz w:val="24"/>
                <w:szCs w:val="24"/>
                <w14:textFill>
                  <w14:solidFill>
                    <w14:schemeClr w14:val="tx1"/>
                  </w14:solidFill>
                </w14:textFill>
              </w:rPr>
              <w:t>0.98</w:t>
            </w:r>
          </w:p>
        </w:tc>
      </w:tr>
      <w:tr w14:paraId="318E3E03">
        <w:tc>
          <w:tcPr>
            <w:tcW w:w="2763" w:type="dxa"/>
            <w:tcBorders>
              <w:top w:val="nil"/>
              <w:left w:val="nil"/>
              <w:bottom w:val="nil"/>
              <w:right w:val="nil"/>
            </w:tcBorders>
          </w:tcPr>
          <w:p w14:paraId="2AD41AAD">
            <w:pPr>
              <w:spacing w:line="360" w:lineRule="auto"/>
              <w:rPr>
                <w:rFonts w:ascii="Times New Roman" w:hAnsi="Times New Roman"/>
                <w:b/>
                <w:bCs/>
                <w:kern w:val="0"/>
                <w:sz w:val="24"/>
                <w:szCs w:val="24"/>
              </w:rPr>
            </w:pPr>
            <w:r>
              <w:rPr>
                <w:rFonts w:ascii="Times New Roman" w:hAnsi="Times New Roman"/>
                <w:b/>
                <w:bCs/>
                <w:color w:val="000000" w:themeColor="text1"/>
                <w:kern w:val="0"/>
                <w:sz w:val="24"/>
                <w:szCs w:val="24"/>
                <w14:textFill>
                  <w14:solidFill>
                    <w14:schemeClr w14:val="tx1"/>
                  </w14:solidFill>
                </w14:textFill>
              </w:rPr>
              <w:t>Serious Outcomes</w:t>
            </w:r>
          </w:p>
        </w:tc>
        <w:tc>
          <w:tcPr>
            <w:tcW w:w="2763" w:type="dxa"/>
            <w:tcBorders>
              <w:top w:val="nil"/>
              <w:left w:val="nil"/>
              <w:bottom w:val="nil"/>
              <w:right w:val="nil"/>
            </w:tcBorders>
            <w:vAlign w:val="center"/>
          </w:tcPr>
          <w:p w14:paraId="261015C6">
            <w:pPr>
              <w:spacing w:line="360" w:lineRule="auto"/>
              <w:jc w:val="center"/>
              <w:rPr>
                <w:rFonts w:ascii="Times New Roman" w:hAnsi="Times New Roman"/>
                <w:kern w:val="0"/>
                <w:sz w:val="24"/>
                <w:szCs w:val="24"/>
              </w:rPr>
            </w:pPr>
          </w:p>
        </w:tc>
        <w:tc>
          <w:tcPr>
            <w:tcW w:w="2764" w:type="dxa"/>
            <w:tcBorders>
              <w:top w:val="nil"/>
              <w:left w:val="nil"/>
              <w:bottom w:val="nil"/>
              <w:right w:val="nil"/>
            </w:tcBorders>
            <w:vAlign w:val="center"/>
          </w:tcPr>
          <w:p w14:paraId="522005E0">
            <w:pPr>
              <w:spacing w:line="360" w:lineRule="auto"/>
              <w:jc w:val="center"/>
              <w:rPr>
                <w:rFonts w:ascii="Times New Roman" w:hAnsi="Times New Roman"/>
                <w:kern w:val="0"/>
                <w:sz w:val="24"/>
                <w:szCs w:val="24"/>
              </w:rPr>
            </w:pPr>
          </w:p>
        </w:tc>
      </w:tr>
      <w:tr w14:paraId="3921C975">
        <w:tc>
          <w:tcPr>
            <w:tcW w:w="2763" w:type="dxa"/>
            <w:tcBorders>
              <w:top w:val="nil"/>
              <w:left w:val="nil"/>
              <w:bottom w:val="nil"/>
              <w:right w:val="nil"/>
            </w:tcBorders>
            <w:vAlign w:val="center"/>
          </w:tcPr>
          <w:p w14:paraId="38EDD88D">
            <w:pPr>
              <w:spacing w:line="360" w:lineRule="auto"/>
              <w:rPr>
                <w:rFonts w:ascii="Times New Roman" w:hAnsi="Times New Roman"/>
                <w:kern w:val="0"/>
                <w:sz w:val="24"/>
                <w:szCs w:val="24"/>
              </w:rPr>
            </w:pPr>
            <w:r>
              <w:rPr>
                <w:rFonts w:ascii="Times New Roman" w:hAnsi="Times New Roman"/>
                <w:color w:val="000000" w:themeColor="text1"/>
                <w:kern w:val="0"/>
                <w:sz w:val="24"/>
                <w:szCs w:val="24"/>
                <w14:textFill>
                  <w14:solidFill>
                    <w14:schemeClr w14:val="tx1"/>
                  </w14:solidFill>
                </w14:textFill>
              </w:rPr>
              <w:t>Death</w:t>
            </w:r>
          </w:p>
        </w:tc>
        <w:tc>
          <w:tcPr>
            <w:tcW w:w="2763" w:type="dxa"/>
            <w:tcBorders>
              <w:top w:val="nil"/>
              <w:left w:val="nil"/>
              <w:bottom w:val="nil"/>
              <w:right w:val="nil"/>
            </w:tcBorders>
            <w:vAlign w:val="center"/>
          </w:tcPr>
          <w:p w14:paraId="17995C70">
            <w:pPr>
              <w:widowControl/>
              <w:jc w:val="center"/>
              <w:textAlignment w:val="center"/>
              <w:rPr>
                <w:rFonts w:ascii="Times New Roman Regular" w:hAnsi="Times New Roman Regular" w:eastAsia="Times New Roman"/>
                <w:kern w:val="0"/>
                <w:sz w:val="24"/>
                <w:szCs w:val="24"/>
              </w:rPr>
            </w:pPr>
            <w:r>
              <w:rPr>
                <w:rFonts w:ascii="Times New Roman Regular" w:hAnsi="Times New Roman Regular" w:eastAsia="DengXian"/>
                <w:color w:val="000000" w:themeColor="text1"/>
                <w:kern w:val="0"/>
                <w:sz w:val="24"/>
                <w:szCs w:val="24"/>
                <w14:textFill>
                  <w14:solidFill>
                    <w14:schemeClr w14:val="tx1"/>
                  </w14:solidFill>
                </w14:textFill>
              </w:rPr>
              <w:t>13785</w:t>
            </w:r>
          </w:p>
        </w:tc>
        <w:tc>
          <w:tcPr>
            <w:tcW w:w="2764" w:type="dxa"/>
            <w:tcBorders>
              <w:top w:val="nil"/>
              <w:left w:val="nil"/>
              <w:bottom w:val="nil"/>
              <w:right w:val="nil"/>
            </w:tcBorders>
            <w:vAlign w:val="center"/>
          </w:tcPr>
          <w:p w14:paraId="717BE58A">
            <w:pPr>
              <w:widowControl/>
              <w:jc w:val="center"/>
              <w:textAlignment w:val="center"/>
              <w:rPr>
                <w:rFonts w:ascii="Times New Roman Regular" w:hAnsi="Times New Roman Regular" w:eastAsia="Times New Roman"/>
                <w:kern w:val="0"/>
                <w:sz w:val="24"/>
                <w:szCs w:val="24"/>
              </w:rPr>
            </w:pPr>
            <w:r>
              <w:rPr>
                <w:rFonts w:ascii="Times New Roman Regular" w:hAnsi="Times New Roman Regular" w:eastAsia="Times New Roman"/>
                <w:color w:val="000000" w:themeColor="text1"/>
                <w:kern w:val="0"/>
                <w:sz w:val="24"/>
                <w:szCs w:val="24"/>
                <w14:textFill>
                  <w14:solidFill>
                    <w14:schemeClr w14:val="tx1"/>
                  </w14:solidFill>
                </w14:textFill>
              </w:rPr>
              <w:t>51.14</w:t>
            </w:r>
          </w:p>
        </w:tc>
      </w:tr>
      <w:tr w14:paraId="7F6DE65C">
        <w:tc>
          <w:tcPr>
            <w:tcW w:w="2763" w:type="dxa"/>
            <w:tcBorders>
              <w:top w:val="nil"/>
              <w:left w:val="nil"/>
              <w:bottom w:val="nil"/>
              <w:right w:val="nil"/>
            </w:tcBorders>
            <w:vAlign w:val="center"/>
          </w:tcPr>
          <w:p w14:paraId="603A5DC0">
            <w:pPr>
              <w:spacing w:line="360" w:lineRule="auto"/>
              <w:rPr>
                <w:rFonts w:ascii="Times New Roman" w:hAnsi="Times New Roman"/>
                <w:kern w:val="0"/>
                <w:sz w:val="24"/>
                <w:szCs w:val="24"/>
              </w:rPr>
            </w:pPr>
            <w:r>
              <w:rPr>
                <w:rFonts w:ascii="Times New Roman" w:hAnsi="Times New Roman"/>
                <w:color w:val="000000" w:themeColor="text1"/>
                <w:kern w:val="0"/>
                <w:sz w:val="24"/>
                <w:szCs w:val="24"/>
                <w14:textFill>
                  <w14:solidFill>
                    <w14:schemeClr w14:val="tx1"/>
                  </w14:solidFill>
                </w14:textFill>
              </w:rPr>
              <w:t>Hospitalization</w:t>
            </w:r>
          </w:p>
        </w:tc>
        <w:tc>
          <w:tcPr>
            <w:tcW w:w="2763" w:type="dxa"/>
            <w:tcBorders>
              <w:top w:val="nil"/>
              <w:left w:val="nil"/>
              <w:bottom w:val="nil"/>
              <w:right w:val="nil"/>
            </w:tcBorders>
            <w:vAlign w:val="center"/>
          </w:tcPr>
          <w:p w14:paraId="3A2B7D32">
            <w:pPr>
              <w:widowControl/>
              <w:jc w:val="center"/>
              <w:textAlignment w:val="center"/>
              <w:rPr>
                <w:rFonts w:ascii="Times New Roman Regular" w:hAnsi="Times New Roman Regular" w:eastAsia="Times New Roman"/>
                <w:kern w:val="0"/>
                <w:sz w:val="24"/>
                <w:szCs w:val="24"/>
              </w:rPr>
            </w:pPr>
            <w:r>
              <w:rPr>
                <w:rFonts w:ascii="Times New Roman Regular" w:hAnsi="Times New Roman Regular" w:eastAsia="DengXian"/>
                <w:color w:val="000000" w:themeColor="text1"/>
                <w:kern w:val="0"/>
                <w:sz w:val="24"/>
                <w:szCs w:val="24"/>
                <w14:textFill>
                  <w14:solidFill>
                    <w14:schemeClr w14:val="tx1"/>
                  </w14:solidFill>
                </w14:textFill>
              </w:rPr>
              <w:t>3588</w:t>
            </w:r>
          </w:p>
        </w:tc>
        <w:tc>
          <w:tcPr>
            <w:tcW w:w="2764" w:type="dxa"/>
            <w:tcBorders>
              <w:top w:val="nil"/>
              <w:left w:val="nil"/>
              <w:bottom w:val="nil"/>
              <w:right w:val="nil"/>
            </w:tcBorders>
            <w:vAlign w:val="center"/>
          </w:tcPr>
          <w:p w14:paraId="316EB6F7">
            <w:pPr>
              <w:widowControl/>
              <w:jc w:val="center"/>
              <w:textAlignment w:val="center"/>
              <w:rPr>
                <w:rFonts w:ascii="Times New Roman Regular" w:hAnsi="Times New Roman Regular" w:eastAsia="Times New Roman"/>
                <w:kern w:val="0"/>
                <w:sz w:val="24"/>
                <w:szCs w:val="24"/>
              </w:rPr>
            </w:pPr>
            <w:r>
              <w:rPr>
                <w:rFonts w:ascii="Times New Roman Regular" w:hAnsi="Times New Roman Regular" w:eastAsia="Times New Roman"/>
                <w:color w:val="000000" w:themeColor="text1"/>
                <w:kern w:val="0"/>
                <w:sz w:val="24"/>
                <w:szCs w:val="24"/>
                <w14:textFill>
                  <w14:solidFill>
                    <w14:schemeClr w14:val="tx1"/>
                  </w14:solidFill>
                </w14:textFill>
              </w:rPr>
              <w:t>13.31</w:t>
            </w:r>
          </w:p>
        </w:tc>
      </w:tr>
      <w:tr w14:paraId="6F0EC35B">
        <w:tc>
          <w:tcPr>
            <w:tcW w:w="2763" w:type="dxa"/>
            <w:tcBorders>
              <w:top w:val="nil"/>
              <w:left w:val="nil"/>
              <w:bottom w:val="nil"/>
              <w:right w:val="nil"/>
            </w:tcBorders>
            <w:vAlign w:val="center"/>
          </w:tcPr>
          <w:p w14:paraId="362B6650">
            <w:pPr>
              <w:spacing w:line="360" w:lineRule="auto"/>
              <w:rPr>
                <w:rFonts w:ascii="Times New Roman" w:hAnsi="Times New Roman"/>
                <w:kern w:val="0"/>
                <w:sz w:val="24"/>
                <w:szCs w:val="24"/>
              </w:rPr>
            </w:pPr>
            <w:r>
              <w:rPr>
                <w:rFonts w:ascii="Times New Roman" w:hAnsi="Times New Roman"/>
                <w:color w:val="000000" w:themeColor="text1"/>
                <w:kern w:val="0"/>
                <w:sz w:val="24"/>
                <w:szCs w:val="24"/>
                <w14:textFill>
                  <w14:solidFill>
                    <w14:schemeClr w14:val="tx1"/>
                  </w14:solidFill>
                </w14:textFill>
              </w:rPr>
              <w:t>Life-threatening</w:t>
            </w:r>
          </w:p>
        </w:tc>
        <w:tc>
          <w:tcPr>
            <w:tcW w:w="2763" w:type="dxa"/>
            <w:tcBorders>
              <w:top w:val="nil"/>
              <w:left w:val="nil"/>
              <w:bottom w:val="nil"/>
              <w:right w:val="nil"/>
            </w:tcBorders>
            <w:vAlign w:val="center"/>
          </w:tcPr>
          <w:p w14:paraId="3A00CD86">
            <w:pPr>
              <w:widowControl/>
              <w:jc w:val="center"/>
              <w:textAlignment w:val="center"/>
              <w:rPr>
                <w:rFonts w:ascii="Times New Roman Regular" w:hAnsi="Times New Roman Regular" w:eastAsia="Times New Roman"/>
                <w:kern w:val="0"/>
                <w:sz w:val="24"/>
                <w:szCs w:val="24"/>
              </w:rPr>
            </w:pPr>
            <w:r>
              <w:rPr>
                <w:rFonts w:ascii="Times New Roman Regular" w:hAnsi="Times New Roman Regular" w:eastAsia="DengXian"/>
                <w:color w:val="000000" w:themeColor="text1"/>
                <w:kern w:val="0"/>
                <w:sz w:val="24"/>
                <w:szCs w:val="24"/>
                <w14:textFill>
                  <w14:solidFill>
                    <w14:schemeClr w14:val="tx1"/>
                  </w14:solidFill>
                </w14:textFill>
              </w:rPr>
              <w:t>253</w:t>
            </w:r>
          </w:p>
        </w:tc>
        <w:tc>
          <w:tcPr>
            <w:tcW w:w="2764" w:type="dxa"/>
            <w:tcBorders>
              <w:top w:val="nil"/>
              <w:left w:val="nil"/>
              <w:bottom w:val="nil"/>
              <w:right w:val="nil"/>
            </w:tcBorders>
            <w:vAlign w:val="center"/>
          </w:tcPr>
          <w:p w14:paraId="4BD96BF0">
            <w:pPr>
              <w:widowControl/>
              <w:jc w:val="center"/>
              <w:textAlignment w:val="center"/>
              <w:rPr>
                <w:rFonts w:ascii="Times New Roman Regular" w:hAnsi="Times New Roman Regular" w:eastAsia="Times New Roman"/>
                <w:kern w:val="0"/>
                <w:sz w:val="24"/>
                <w:szCs w:val="24"/>
              </w:rPr>
            </w:pPr>
            <w:r>
              <w:rPr>
                <w:rFonts w:ascii="Times New Roman Regular" w:hAnsi="Times New Roman Regular" w:eastAsia="Times New Roman"/>
                <w:color w:val="000000" w:themeColor="text1"/>
                <w:kern w:val="0"/>
                <w:sz w:val="24"/>
                <w:szCs w:val="24"/>
                <w14:textFill>
                  <w14:solidFill>
                    <w14:schemeClr w14:val="tx1"/>
                  </w14:solidFill>
                </w14:textFill>
              </w:rPr>
              <w:t>0.94</w:t>
            </w:r>
          </w:p>
        </w:tc>
      </w:tr>
      <w:tr w14:paraId="0E9DE29E">
        <w:tc>
          <w:tcPr>
            <w:tcW w:w="2763" w:type="dxa"/>
            <w:tcBorders>
              <w:top w:val="nil"/>
              <w:left w:val="nil"/>
              <w:bottom w:val="single" w:color="000000" w:sz="8" w:space="0"/>
              <w:right w:val="nil"/>
            </w:tcBorders>
            <w:vAlign w:val="center"/>
          </w:tcPr>
          <w:p w14:paraId="24696CDA">
            <w:pPr>
              <w:spacing w:line="360" w:lineRule="auto"/>
              <w:rPr>
                <w:rFonts w:ascii="Times New Roman" w:hAnsi="Times New Roman"/>
                <w:kern w:val="0"/>
                <w:sz w:val="24"/>
                <w:szCs w:val="24"/>
              </w:rPr>
            </w:pPr>
            <w:r>
              <w:rPr>
                <w:rFonts w:ascii="Times New Roman" w:hAnsi="Times New Roman"/>
                <w:color w:val="000000" w:themeColor="text1"/>
                <w:kern w:val="0"/>
                <w:sz w:val="24"/>
                <w:szCs w:val="24"/>
                <w14:textFill>
                  <w14:solidFill>
                    <w14:schemeClr w14:val="tx1"/>
                  </w14:solidFill>
                </w14:textFill>
              </w:rPr>
              <w:t>Disability</w:t>
            </w:r>
          </w:p>
        </w:tc>
        <w:tc>
          <w:tcPr>
            <w:tcW w:w="2763" w:type="dxa"/>
            <w:tcBorders>
              <w:top w:val="nil"/>
              <w:left w:val="nil"/>
              <w:bottom w:val="single" w:color="000000" w:sz="8" w:space="0"/>
              <w:right w:val="nil"/>
            </w:tcBorders>
            <w:vAlign w:val="center"/>
          </w:tcPr>
          <w:p w14:paraId="7B81A528">
            <w:pPr>
              <w:widowControl/>
              <w:jc w:val="center"/>
              <w:textAlignment w:val="center"/>
              <w:rPr>
                <w:rFonts w:ascii="Times New Roman Regular" w:hAnsi="Times New Roman Regular" w:eastAsia="Times New Roman"/>
                <w:kern w:val="0"/>
                <w:sz w:val="24"/>
                <w:szCs w:val="24"/>
              </w:rPr>
            </w:pPr>
            <w:r>
              <w:rPr>
                <w:rFonts w:ascii="Times New Roman Regular" w:hAnsi="Times New Roman Regular" w:eastAsia="DengXian"/>
                <w:color w:val="000000" w:themeColor="text1"/>
                <w:kern w:val="0"/>
                <w:sz w:val="24"/>
                <w:szCs w:val="24"/>
                <w14:textFill>
                  <w14:solidFill>
                    <w14:schemeClr w14:val="tx1"/>
                  </w14:solidFill>
                </w14:textFill>
              </w:rPr>
              <w:t>118</w:t>
            </w:r>
          </w:p>
        </w:tc>
        <w:tc>
          <w:tcPr>
            <w:tcW w:w="2764" w:type="dxa"/>
            <w:tcBorders>
              <w:top w:val="nil"/>
              <w:left w:val="nil"/>
              <w:bottom w:val="single" w:color="000000" w:sz="8" w:space="0"/>
              <w:right w:val="nil"/>
            </w:tcBorders>
            <w:vAlign w:val="center"/>
          </w:tcPr>
          <w:p w14:paraId="37A9F80D">
            <w:pPr>
              <w:widowControl/>
              <w:jc w:val="center"/>
              <w:textAlignment w:val="center"/>
              <w:rPr>
                <w:rFonts w:ascii="Times New Roman Regular" w:hAnsi="Times New Roman Regular" w:eastAsia="Times New Roman"/>
                <w:kern w:val="0"/>
                <w:sz w:val="24"/>
                <w:szCs w:val="24"/>
              </w:rPr>
            </w:pPr>
            <w:r>
              <w:rPr>
                <w:rFonts w:ascii="Times New Roman Regular" w:hAnsi="Times New Roman Regular" w:eastAsia="Times New Roman"/>
                <w:color w:val="000000" w:themeColor="text1"/>
                <w:kern w:val="0"/>
                <w:sz w:val="24"/>
                <w:szCs w:val="24"/>
                <w14:textFill>
                  <w14:solidFill>
                    <w14:schemeClr w14:val="tx1"/>
                  </w14:solidFill>
                </w14:textFill>
              </w:rPr>
              <w:t>0.44</w:t>
            </w:r>
          </w:p>
        </w:tc>
      </w:tr>
    </w:tbl>
    <w:p w14:paraId="5A0B7D58">
      <w:pPr>
        <w:spacing w:line="360" w:lineRule="auto"/>
        <w:rPr>
          <w:rFonts w:ascii="Times New Roman" w:hAnsi="Times New Roman"/>
        </w:rPr>
      </w:pPr>
      <w:r>
        <w:rPr>
          <w:rFonts w:ascii="Times New Roman" w:hAnsi="Times New Roman"/>
        </w:rPr>
        <w:t xml:space="preserve"> The asterisk (*) indicates categories beyond the biological sexes of male and female, including other self-defined genders or unspecified/unknown gender entries.</w:t>
      </w:r>
    </w:p>
    <w:p w14:paraId="05D490C8">
      <w:pPr>
        <w:rPr>
          <w:rFonts w:ascii="Times New Roman Bold" w:hAnsi="Times New Roman Bold" w:cs="Times New Roman Bold"/>
          <w:b/>
          <w:bCs/>
          <w:sz w:val="28"/>
          <w:szCs w:val="28"/>
        </w:rPr>
      </w:pPr>
    </w:p>
    <w:p w14:paraId="46C30D24">
      <w:pPr>
        <w:widowControl/>
        <w:jc w:val="left"/>
        <w:rPr>
          <w:rFonts w:ascii="Times New Roman Bold" w:hAnsi="Times New Roman Bold" w:cs="Times New Roman Bold"/>
          <w:b/>
          <w:bCs/>
          <w:sz w:val="28"/>
          <w:szCs w:val="28"/>
        </w:rPr>
        <w:sectPr>
          <w:pgSz w:w="11906" w:h="16838"/>
          <w:pgMar w:top="1440" w:right="1800" w:bottom="1440" w:left="1800" w:header="851" w:footer="992" w:gutter="0"/>
          <w:cols w:space="720" w:num="1"/>
          <w:docGrid w:type="lines" w:linePitch="312" w:charSpace="0"/>
        </w:sectPr>
      </w:pPr>
    </w:p>
    <w:p w14:paraId="43DBF8AB">
      <w:pPr>
        <w:rPr>
          <w:rFonts w:ascii="Times New Roman Bold" w:hAnsi="Times New Roman Bold" w:cs="Times New Roman Bold"/>
          <w:b/>
          <w:bCs/>
          <w:sz w:val="28"/>
          <w:szCs w:val="28"/>
        </w:rPr>
      </w:pPr>
      <w:r>
        <w:rPr>
          <w:rFonts w:ascii="Times New Roman Bold" w:hAnsi="Times New Roman Bold" w:cs="Times New Roman Bold"/>
          <w:b/>
          <w:bCs/>
          <w:sz w:val="28"/>
          <w:szCs w:val="28"/>
        </w:rPr>
        <w:tab/>
      </w:r>
    </w:p>
    <w:p w14:paraId="68DF82BF">
      <w:pPr>
        <w:jc w:val="left"/>
        <w:rPr>
          <w:rFonts w:ascii="Times New Roman" w:hAnsi="Times New Roman"/>
          <w:sz w:val="24"/>
          <w:szCs w:val="24"/>
        </w:rPr>
      </w:pPr>
      <w:r>
        <w:rPr>
          <w:rFonts w:ascii="Times New Roman" w:hAnsi="Times New Roman"/>
          <w:sz w:val="24"/>
          <w:szCs w:val="24"/>
        </w:rPr>
        <w:t xml:space="preserve">Table 3 </w:t>
      </w:r>
      <w:r>
        <w:rPr>
          <w:rFonts w:hint="eastAsia" w:ascii="Times New Roman" w:hAnsi="Times New Roman"/>
          <w:sz w:val="24"/>
          <w:szCs w:val="24"/>
        </w:rPr>
        <w:t>Signal</w:t>
      </w:r>
      <w:r>
        <w:rPr>
          <w:rFonts w:ascii="Times New Roman" w:hAnsi="Times New Roman"/>
          <w:sz w:val="24"/>
          <w:szCs w:val="24"/>
        </w:rPr>
        <w:t xml:space="preserve"> strength of AEs of </w:t>
      </w:r>
      <w:r>
        <w:rPr>
          <w:rFonts w:hint="eastAsia" w:ascii="Times New Roman" w:hAnsi="Times New Roman"/>
          <w:sz w:val="24"/>
          <w:szCs w:val="24"/>
        </w:rPr>
        <w:t>erlotinib</w:t>
      </w:r>
      <w:r>
        <w:rPr>
          <w:rFonts w:ascii="Times New Roman" w:hAnsi="Times New Roman"/>
          <w:sz w:val="24"/>
          <w:szCs w:val="24"/>
        </w:rPr>
        <w:t xml:space="preserve"> at the System Organ Class (SOC) level in FDA Adverse Event Reporting System (FAERS) source.</w:t>
      </w:r>
    </w:p>
    <w:tbl>
      <w:tblPr>
        <w:tblStyle w:val="4"/>
        <w:tblW w:w="0" w:type="auto"/>
        <w:jc w:val="center"/>
        <w:tblBorders>
          <w:top w:val="single" w:color="auto" w:sz="8" w:space="0"/>
          <w:left w:val="none" w:color="auto" w:sz="0" w:space="0"/>
          <w:bottom w:val="single" w:color="auto" w:sz="8"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3318"/>
        <w:gridCol w:w="1193"/>
        <w:gridCol w:w="1030"/>
        <w:gridCol w:w="2285"/>
        <w:gridCol w:w="2250"/>
        <w:gridCol w:w="1138"/>
        <w:gridCol w:w="1444"/>
        <w:gridCol w:w="1516"/>
      </w:tblGrid>
      <w:tr w14:paraId="7F1FC830">
        <w:trPr>
          <w:jc w:val="center"/>
        </w:trPr>
        <w:tc>
          <w:tcPr>
            <w:tcW w:w="3318" w:type="dxa"/>
            <w:tcBorders>
              <w:top w:val="single" w:color="auto" w:sz="8" w:space="0"/>
              <w:left w:val="nil"/>
              <w:bottom w:val="single" w:color="000000" w:sz="8" w:space="0"/>
              <w:right w:val="nil"/>
            </w:tcBorders>
          </w:tcPr>
          <w:p w14:paraId="61A7D64A">
            <w:pPr>
              <w:ind w:firstLine="493"/>
              <w:jc w:val="center"/>
              <w:rPr>
                <w:rFonts w:ascii="Times New Roman Bold" w:hAnsi="Times New Roman Bold" w:cs="Times New Roman Bold"/>
                <w:b/>
                <w:bCs/>
                <w:kern w:val="0"/>
                <w:sz w:val="24"/>
                <w:szCs w:val="24"/>
              </w:rPr>
            </w:pPr>
            <w:r>
              <w:rPr>
                <w:rFonts w:hint="eastAsia" w:ascii="Times New Roman Bold" w:hAnsi="Times New Roman Bold" w:cs="Times New Roman Bold"/>
                <w:b/>
                <w:bCs/>
                <w:kern w:val="0"/>
                <w:sz w:val="24"/>
                <w:szCs w:val="24"/>
              </w:rPr>
              <w:t>SOC</w:t>
            </w:r>
          </w:p>
        </w:tc>
        <w:tc>
          <w:tcPr>
            <w:tcW w:w="1193" w:type="dxa"/>
            <w:tcBorders>
              <w:top w:val="single" w:color="auto" w:sz="8" w:space="0"/>
              <w:left w:val="nil"/>
              <w:bottom w:val="single" w:color="000000" w:sz="8" w:space="0"/>
              <w:right w:val="nil"/>
            </w:tcBorders>
          </w:tcPr>
          <w:p w14:paraId="7ED4CD37">
            <w:pPr>
              <w:jc w:val="center"/>
              <w:rPr>
                <w:rFonts w:ascii="Times New Roman Bold" w:hAnsi="Times New Roman Bold" w:cs="Times New Roman Bold"/>
                <w:b/>
                <w:bCs/>
                <w:kern w:val="0"/>
                <w:sz w:val="24"/>
                <w:szCs w:val="24"/>
              </w:rPr>
            </w:pPr>
            <w:r>
              <w:rPr>
                <w:rFonts w:hint="eastAsia" w:ascii="Times New Roman Bold" w:hAnsi="Times New Roman Bold" w:cs="Times New Roman Bold"/>
                <w:b/>
                <w:bCs/>
                <w:kern w:val="0"/>
                <w:sz w:val="24"/>
                <w:szCs w:val="24"/>
              </w:rPr>
              <w:t>SOC</w:t>
            </w:r>
            <w:r>
              <w:rPr>
                <w:rFonts w:ascii="Times New Roman Bold" w:hAnsi="Times New Roman Bold" w:cs="Times New Roman Bold"/>
                <w:b/>
                <w:bCs/>
                <w:kern w:val="0"/>
                <w:sz w:val="24"/>
                <w:szCs w:val="24"/>
              </w:rPr>
              <w:t xml:space="preserve"> COde</w:t>
            </w:r>
          </w:p>
        </w:tc>
        <w:tc>
          <w:tcPr>
            <w:tcW w:w="1030" w:type="dxa"/>
            <w:tcBorders>
              <w:top w:val="single" w:color="auto" w:sz="8" w:space="0"/>
              <w:left w:val="nil"/>
              <w:bottom w:val="single" w:color="000000" w:sz="8" w:space="0"/>
              <w:right w:val="nil"/>
            </w:tcBorders>
          </w:tcPr>
          <w:p w14:paraId="44D1AC3E">
            <w:pPr>
              <w:jc w:val="center"/>
              <w:rPr>
                <w:rFonts w:ascii="Times New Roman Bold" w:hAnsi="Times New Roman Bold" w:cs="Times New Roman Bold"/>
                <w:b/>
                <w:bCs/>
                <w:kern w:val="0"/>
                <w:sz w:val="24"/>
                <w:szCs w:val="24"/>
              </w:rPr>
            </w:pPr>
            <w:r>
              <w:rPr>
                <w:rFonts w:ascii="Times New Roman Bold" w:hAnsi="Times New Roman Bold" w:cs="Times New Roman Bold"/>
                <w:b/>
                <w:bCs/>
                <w:kern w:val="0"/>
                <w:sz w:val="24"/>
                <w:szCs w:val="24"/>
              </w:rPr>
              <w:t>Case Reports</w:t>
            </w:r>
          </w:p>
        </w:tc>
        <w:tc>
          <w:tcPr>
            <w:tcW w:w="2285" w:type="dxa"/>
            <w:tcBorders>
              <w:top w:val="single" w:color="auto" w:sz="8" w:space="0"/>
              <w:left w:val="nil"/>
              <w:bottom w:val="single" w:color="000000" w:sz="8" w:space="0"/>
              <w:right w:val="nil"/>
            </w:tcBorders>
          </w:tcPr>
          <w:p w14:paraId="3AC9AAB4">
            <w:pPr>
              <w:jc w:val="center"/>
              <w:rPr>
                <w:rFonts w:ascii="Times New Roman Bold" w:hAnsi="Times New Roman Bold" w:cs="Times New Roman Bold"/>
                <w:b/>
                <w:bCs/>
                <w:kern w:val="0"/>
                <w:sz w:val="24"/>
                <w:szCs w:val="24"/>
              </w:rPr>
            </w:pPr>
            <w:r>
              <w:rPr>
                <w:rFonts w:ascii="Times New Roman Bold" w:hAnsi="Times New Roman Bold" w:cs="Times New Roman Bold"/>
                <w:b/>
                <w:bCs/>
                <w:kern w:val="0"/>
                <w:sz w:val="24"/>
                <w:szCs w:val="24"/>
              </w:rPr>
              <w:t>ROR (95% CI)</w:t>
            </w:r>
          </w:p>
        </w:tc>
        <w:tc>
          <w:tcPr>
            <w:tcW w:w="2250" w:type="dxa"/>
            <w:tcBorders>
              <w:top w:val="single" w:color="auto" w:sz="8" w:space="0"/>
              <w:left w:val="nil"/>
              <w:bottom w:val="single" w:color="000000" w:sz="8" w:space="0"/>
              <w:right w:val="nil"/>
            </w:tcBorders>
          </w:tcPr>
          <w:p w14:paraId="65A68F9C">
            <w:pPr>
              <w:jc w:val="center"/>
              <w:rPr>
                <w:rFonts w:ascii="Times New Roman Bold" w:hAnsi="Times New Roman Bold" w:cs="Times New Roman Bold"/>
                <w:b/>
                <w:bCs/>
                <w:kern w:val="0"/>
                <w:sz w:val="24"/>
                <w:szCs w:val="24"/>
              </w:rPr>
            </w:pPr>
            <w:r>
              <w:rPr>
                <w:rFonts w:ascii="Times New Roman Bold" w:hAnsi="Times New Roman Bold" w:cs="Times New Roman Bold"/>
                <w:b/>
                <w:bCs/>
                <w:kern w:val="0"/>
                <w:sz w:val="24"/>
                <w:szCs w:val="24"/>
              </w:rPr>
              <w:t>PRR (95% CI)</w:t>
            </w:r>
          </w:p>
        </w:tc>
        <w:tc>
          <w:tcPr>
            <w:tcW w:w="1138" w:type="dxa"/>
            <w:tcBorders>
              <w:top w:val="single" w:color="auto" w:sz="8" w:space="0"/>
              <w:left w:val="nil"/>
              <w:bottom w:val="single" w:color="000000" w:sz="8" w:space="0"/>
              <w:right w:val="nil"/>
            </w:tcBorders>
          </w:tcPr>
          <w:p w14:paraId="41E033CE">
            <w:pPr>
              <w:jc w:val="center"/>
              <w:rPr>
                <w:rFonts w:ascii="Times New Roman Bold" w:hAnsi="Times New Roman Bold" w:cs="Times New Roman Bold"/>
                <w:b/>
                <w:bCs/>
                <w:kern w:val="0"/>
                <w:sz w:val="24"/>
                <w:szCs w:val="24"/>
              </w:rPr>
            </w:pPr>
            <w:r>
              <w:rPr>
                <w:rFonts w:ascii="Times New Roman Regular" w:hAnsi="Times New Roman Regular" w:eastAsia="微软雅黑"/>
                <w:b/>
                <w:bCs/>
                <w:kern w:val="0"/>
                <w:sz w:val="20"/>
                <w:szCs w:val="20"/>
              </w:rPr>
              <w:t>χ2</w:t>
            </w:r>
          </w:p>
        </w:tc>
        <w:tc>
          <w:tcPr>
            <w:tcW w:w="1444" w:type="dxa"/>
            <w:tcBorders>
              <w:top w:val="single" w:color="auto" w:sz="8" w:space="0"/>
              <w:left w:val="nil"/>
              <w:bottom w:val="single" w:color="000000" w:sz="8" w:space="0"/>
              <w:right w:val="nil"/>
            </w:tcBorders>
          </w:tcPr>
          <w:p w14:paraId="51304166">
            <w:pPr>
              <w:jc w:val="center"/>
              <w:rPr>
                <w:rFonts w:ascii="Times New Roman Bold" w:hAnsi="Times New Roman Bold" w:cs="Times New Roman Bold"/>
                <w:b/>
                <w:bCs/>
                <w:kern w:val="0"/>
                <w:sz w:val="24"/>
                <w:szCs w:val="24"/>
              </w:rPr>
            </w:pPr>
            <w:r>
              <w:rPr>
                <w:rFonts w:ascii="Times New Roman Bold" w:hAnsi="Times New Roman Bold" w:cs="Times New Roman Bold"/>
                <w:b/>
                <w:bCs/>
                <w:kern w:val="0"/>
                <w:sz w:val="24"/>
                <w:szCs w:val="24"/>
              </w:rPr>
              <w:t>IC (IC025)</w:t>
            </w:r>
          </w:p>
        </w:tc>
        <w:tc>
          <w:tcPr>
            <w:tcW w:w="1516" w:type="dxa"/>
            <w:tcBorders>
              <w:top w:val="single" w:color="auto" w:sz="8" w:space="0"/>
              <w:left w:val="nil"/>
              <w:bottom w:val="single" w:color="000000" w:sz="8" w:space="0"/>
              <w:right w:val="nil"/>
            </w:tcBorders>
          </w:tcPr>
          <w:p w14:paraId="4349BE8C">
            <w:pPr>
              <w:jc w:val="center"/>
              <w:rPr>
                <w:rFonts w:ascii="Times New Roman Bold" w:hAnsi="Times New Roman Bold" w:cs="Times New Roman Bold"/>
                <w:b/>
                <w:bCs/>
                <w:kern w:val="0"/>
                <w:sz w:val="24"/>
                <w:szCs w:val="24"/>
              </w:rPr>
            </w:pPr>
            <w:r>
              <w:rPr>
                <w:rFonts w:ascii="Times New Roman Bold" w:hAnsi="Times New Roman Bold" w:cs="Times New Roman Bold"/>
                <w:b/>
                <w:bCs/>
                <w:kern w:val="0"/>
                <w:sz w:val="24"/>
                <w:szCs w:val="24"/>
              </w:rPr>
              <w:t>EBGM (EBGM05)</w:t>
            </w:r>
          </w:p>
        </w:tc>
      </w:tr>
      <w:tr w14:paraId="30F9093E">
        <w:trPr>
          <w:jc w:val="center"/>
        </w:trPr>
        <w:tc>
          <w:tcPr>
            <w:tcW w:w="3318" w:type="dxa"/>
            <w:tcBorders>
              <w:top w:val="single" w:color="000000" w:sz="8" w:space="0"/>
              <w:left w:val="nil"/>
              <w:bottom w:val="nil"/>
              <w:right w:val="nil"/>
            </w:tcBorders>
            <w:vAlign w:val="center"/>
          </w:tcPr>
          <w:p w14:paraId="014FD6A6">
            <w:pPr>
              <w:widowControl/>
              <w:jc w:val="left"/>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General disorders and administration site conditions#</w:t>
            </w:r>
          </w:p>
        </w:tc>
        <w:tc>
          <w:tcPr>
            <w:tcW w:w="1193" w:type="dxa"/>
            <w:tcBorders>
              <w:top w:val="single" w:color="000000" w:sz="8" w:space="0"/>
              <w:left w:val="nil"/>
              <w:bottom w:val="nil"/>
              <w:right w:val="nil"/>
            </w:tcBorders>
            <w:vAlign w:val="center"/>
          </w:tcPr>
          <w:p w14:paraId="6EEA3F7F">
            <w:pPr>
              <w:widowControl/>
              <w:jc w:val="center"/>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10018065</w:t>
            </w:r>
          </w:p>
        </w:tc>
        <w:tc>
          <w:tcPr>
            <w:tcW w:w="1030" w:type="dxa"/>
            <w:tcBorders>
              <w:top w:val="single" w:color="000000" w:sz="8" w:space="0"/>
              <w:left w:val="nil"/>
              <w:bottom w:val="nil"/>
              <w:right w:val="nil"/>
            </w:tcBorders>
            <w:vAlign w:val="center"/>
          </w:tcPr>
          <w:p w14:paraId="2B92D6E3">
            <w:pPr>
              <w:widowControl/>
              <w:jc w:val="center"/>
              <w:textAlignment w:val="center"/>
              <w:rPr>
                <w:rFonts w:ascii="Times New Roman" w:hAnsi="Times New Roman" w:eastAsia="DengXian"/>
                <w:color w:val="000000"/>
                <w:kern w:val="0"/>
                <w:sz w:val="24"/>
                <w:szCs w:val="24"/>
              </w:rPr>
            </w:pPr>
            <w:r>
              <w:rPr>
                <w:rFonts w:ascii="Times New Roman" w:hAnsi="Times New Roman" w:eastAsia="DengXian"/>
                <w:color w:val="000000"/>
                <w:kern w:val="0"/>
                <w:sz w:val="24"/>
                <w:szCs w:val="24"/>
              </w:rPr>
              <w:t>13114</w:t>
            </w:r>
          </w:p>
        </w:tc>
        <w:tc>
          <w:tcPr>
            <w:tcW w:w="2285" w:type="dxa"/>
            <w:tcBorders>
              <w:top w:val="single" w:color="000000" w:sz="8" w:space="0"/>
              <w:left w:val="nil"/>
              <w:bottom w:val="nil"/>
              <w:right w:val="nil"/>
            </w:tcBorders>
            <w:vAlign w:val="center"/>
          </w:tcPr>
          <w:p w14:paraId="3B4A891F">
            <w:pPr>
              <w:widowControl/>
              <w:jc w:val="center"/>
              <w:textAlignment w:val="center"/>
              <w:rPr>
                <w:rFonts w:ascii="Times New Roman Regular" w:hAnsi="Times New Roman Regular"/>
                <w:color w:val="000000"/>
                <w:kern w:val="0"/>
                <w:sz w:val="24"/>
                <w:szCs w:val="24"/>
              </w:rPr>
            </w:pPr>
            <w:r>
              <w:rPr>
                <w:rFonts w:ascii="Times New Roman Regular" w:hAnsi="Times New Roman Regular"/>
                <w:color w:val="000000"/>
                <w:kern w:val="0"/>
                <w:sz w:val="24"/>
                <w:szCs w:val="24"/>
              </w:rPr>
              <w:t>16.46 (16.07-16.86)</w:t>
            </w:r>
          </w:p>
        </w:tc>
        <w:tc>
          <w:tcPr>
            <w:tcW w:w="2250" w:type="dxa"/>
            <w:tcBorders>
              <w:top w:val="single" w:color="000000" w:sz="8" w:space="0"/>
              <w:left w:val="nil"/>
              <w:bottom w:val="nil"/>
              <w:right w:val="nil"/>
            </w:tcBorders>
            <w:vAlign w:val="center"/>
          </w:tcPr>
          <w:p w14:paraId="357B4F1E">
            <w:pPr>
              <w:widowControl/>
              <w:jc w:val="center"/>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8.94 (8.83-9.05)</w:t>
            </w:r>
          </w:p>
        </w:tc>
        <w:tc>
          <w:tcPr>
            <w:tcW w:w="1138" w:type="dxa"/>
            <w:tcBorders>
              <w:top w:val="single" w:color="000000" w:sz="8" w:space="0"/>
              <w:left w:val="nil"/>
              <w:bottom w:val="nil"/>
              <w:right w:val="nil"/>
            </w:tcBorders>
            <w:vAlign w:val="center"/>
          </w:tcPr>
          <w:p w14:paraId="5696F81B">
            <w:pPr>
              <w:widowControl/>
              <w:jc w:val="left"/>
              <w:textAlignment w:val="center"/>
              <w:rPr>
                <w:rFonts w:ascii="Times New Roman Bold" w:hAnsi="Times New Roman Bold" w:cs="Times New Roman Bold"/>
                <w:b/>
                <w:bCs/>
                <w:kern w:val="0"/>
                <w:sz w:val="24"/>
                <w:szCs w:val="24"/>
              </w:rPr>
            </w:pPr>
            <w:r>
              <w:rPr>
                <w:rFonts w:ascii="Times New Roman" w:hAnsi="Times New Roman" w:eastAsia="DengXian"/>
                <w:color w:val="000000"/>
                <w:kern w:val="0"/>
                <w:sz w:val="24"/>
                <w:szCs w:val="24"/>
              </w:rPr>
              <w:t xml:space="preserve">95439.10 </w:t>
            </w:r>
          </w:p>
        </w:tc>
        <w:tc>
          <w:tcPr>
            <w:tcW w:w="1444" w:type="dxa"/>
            <w:tcBorders>
              <w:top w:val="single" w:color="000000" w:sz="8" w:space="0"/>
              <w:left w:val="nil"/>
              <w:bottom w:val="nil"/>
              <w:right w:val="nil"/>
            </w:tcBorders>
            <w:vAlign w:val="center"/>
          </w:tcPr>
          <w:p w14:paraId="78B90536">
            <w:pPr>
              <w:widowControl/>
              <w:jc w:val="center"/>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3.13 (3.06)</w:t>
            </w:r>
          </w:p>
        </w:tc>
        <w:tc>
          <w:tcPr>
            <w:tcW w:w="1516" w:type="dxa"/>
            <w:tcBorders>
              <w:top w:val="single" w:color="000000" w:sz="8" w:space="0"/>
              <w:left w:val="nil"/>
              <w:bottom w:val="nil"/>
              <w:right w:val="nil"/>
            </w:tcBorders>
            <w:vAlign w:val="center"/>
          </w:tcPr>
          <w:p w14:paraId="6D09EDEA">
            <w:pPr>
              <w:widowControl/>
              <w:jc w:val="center"/>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8.74 (8.53)</w:t>
            </w:r>
          </w:p>
        </w:tc>
      </w:tr>
      <w:tr w14:paraId="018BC5F1">
        <w:trPr>
          <w:jc w:val="center"/>
        </w:trPr>
        <w:tc>
          <w:tcPr>
            <w:tcW w:w="3318" w:type="dxa"/>
            <w:tcBorders>
              <w:top w:val="nil"/>
              <w:left w:val="nil"/>
              <w:bottom w:val="nil"/>
              <w:right w:val="nil"/>
            </w:tcBorders>
            <w:vAlign w:val="center"/>
          </w:tcPr>
          <w:p w14:paraId="5CE46444">
            <w:pPr>
              <w:widowControl/>
              <w:jc w:val="left"/>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Skin and subcutaneous tissue disorders#</w:t>
            </w:r>
          </w:p>
        </w:tc>
        <w:tc>
          <w:tcPr>
            <w:tcW w:w="1193" w:type="dxa"/>
            <w:tcBorders>
              <w:top w:val="nil"/>
              <w:left w:val="nil"/>
              <w:bottom w:val="nil"/>
              <w:right w:val="nil"/>
            </w:tcBorders>
            <w:vAlign w:val="center"/>
          </w:tcPr>
          <w:p w14:paraId="40E76F40">
            <w:pPr>
              <w:widowControl/>
              <w:jc w:val="center"/>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10040785</w:t>
            </w:r>
          </w:p>
        </w:tc>
        <w:tc>
          <w:tcPr>
            <w:tcW w:w="1030" w:type="dxa"/>
            <w:tcBorders>
              <w:top w:val="nil"/>
              <w:left w:val="nil"/>
              <w:bottom w:val="nil"/>
              <w:right w:val="nil"/>
            </w:tcBorders>
            <w:vAlign w:val="center"/>
          </w:tcPr>
          <w:p w14:paraId="09A3CF55">
            <w:pPr>
              <w:widowControl/>
              <w:jc w:val="center"/>
              <w:textAlignment w:val="center"/>
              <w:rPr>
                <w:rFonts w:ascii="Times New Roman" w:hAnsi="Times New Roman" w:eastAsia="DengXian"/>
                <w:color w:val="000000"/>
                <w:kern w:val="0"/>
                <w:sz w:val="24"/>
                <w:szCs w:val="24"/>
              </w:rPr>
            </w:pPr>
            <w:r>
              <w:rPr>
                <w:rFonts w:ascii="Times New Roman" w:hAnsi="Times New Roman" w:eastAsia="DengXian"/>
                <w:color w:val="000000"/>
                <w:kern w:val="0"/>
                <w:sz w:val="24"/>
                <w:szCs w:val="24"/>
              </w:rPr>
              <w:t>6839</w:t>
            </w:r>
          </w:p>
        </w:tc>
        <w:tc>
          <w:tcPr>
            <w:tcW w:w="2285" w:type="dxa"/>
            <w:tcBorders>
              <w:top w:val="nil"/>
              <w:left w:val="nil"/>
              <w:bottom w:val="nil"/>
              <w:right w:val="nil"/>
            </w:tcBorders>
            <w:vAlign w:val="center"/>
          </w:tcPr>
          <w:p w14:paraId="6C55A4A0">
            <w:pPr>
              <w:widowControl/>
              <w:jc w:val="center"/>
              <w:textAlignment w:val="center"/>
              <w:rPr>
                <w:rFonts w:ascii="Times New Roman Regular" w:hAnsi="Times New Roman Regular"/>
                <w:color w:val="000000"/>
                <w:kern w:val="0"/>
                <w:sz w:val="24"/>
                <w:szCs w:val="24"/>
              </w:rPr>
            </w:pPr>
            <w:r>
              <w:rPr>
                <w:rFonts w:ascii="Times New Roman Regular" w:hAnsi="Times New Roman Regular"/>
                <w:color w:val="000000"/>
                <w:kern w:val="0"/>
                <w:sz w:val="24"/>
                <w:szCs w:val="24"/>
              </w:rPr>
              <w:t>11.41 (11.1-11.73)</w:t>
            </w:r>
          </w:p>
        </w:tc>
        <w:tc>
          <w:tcPr>
            <w:tcW w:w="2250" w:type="dxa"/>
            <w:tcBorders>
              <w:top w:val="nil"/>
              <w:left w:val="nil"/>
              <w:bottom w:val="nil"/>
              <w:right w:val="nil"/>
            </w:tcBorders>
            <w:vAlign w:val="center"/>
          </w:tcPr>
          <w:p w14:paraId="2C998989">
            <w:pPr>
              <w:widowControl/>
              <w:jc w:val="center"/>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8.77 (8.59-8.95)</w:t>
            </w:r>
          </w:p>
        </w:tc>
        <w:tc>
          <w:tcPr>
            <w:tcW w:w="1138" w:type="dxa"/>
            <w:tcBorders>
              <w:top w:val="nil"/>
              <w:left w:val="nil"/>
              <w:bottom w:val="nil"/>
              <w:right w:val="nil"/>
            </w:tcBorders>
            <w:vAlign w:val="center"/>
          </w:tcPr>
          <w:p w14:paraId="193E068B">
            <w:pPr>
              <w:widowControl/>
              <w:jc w:val="left"/>
              <w:textAlignment w:val="center"/>
              <w:rPr>
                <w:rFonts w:ascii="Times New Roman Bold" w:hAnsi="Times New Roman Bold" w:cs="Times New Roman Bold"/>
                <w:b/>
                <w:bCs/>
                <w:kern w:val="0"/>
                <w:sz w:val="24"/>
                <w:szCs w:val="24"/>
              </w:rPr>
            </w:pPr>
            <w:r>
              <w:rPr>
                <w:rFonts w:ascii="Times New Roman" w:hAnsi="Times New Roman" w:eastAsia="DengXian"/>
                <w:color w:val="000000"/>
                <w:kern w:val="0"/>
                <w:sz w:val="24"/>
                <w:szCs w:val="24"/>
              </w:rPr>
              <w:t xml:space="preserve">47306.34 </w:t>
            </w:r>
          </w:p>
        </w:tc>
        <w:tc>
          <w:tcPr>
            <w:tcW w:w="1444" w:type="dxa"/>
            <w:tcBorders>
              <w:top w:val="nil"/>
              <w:left w:val="nil"/>
              <w:bottom w:val="nil"/>
              <w:right w:val="nil"/>
            </w:tcBorders>
            <w:vAlign w:val="center"/>
          </w:tcPr>
          <w:p w14:paraId="7B8DB7B1">
            <w:pPr>
              <w:widowControl/>
              <w:jc w:val="center"/>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3.1 (3.01)</w:t>
            </w:r>
          </w:p>
        </w:tc>
        <w:tc>
          <w:tcPr>
            <w:tcW w:w="1516" w:type="dxa"/>
            <w:tcBorders>
              <w:top w:val="nil"/>
              <w:left w:val="nil"/>
              <w:bottom w:val="nil"/>
              <w:right w:val="nil"/>
            </w:tcBorders>
            <w:vAlign w:val="center"/>
          </w:tcPr>
          <w:p w14:paraId="06CD0028">
            <w:pPr>
              <w:widowControl/>
              <w:jc w:val="center"/>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8.58 (8.34)</w:t>
            </w:r>
          </w:p>
        </w:tc>
      </w:tr>
      <w:tr w14:paraId="4FB10DF2">
        <w:trPr>
          <w:jc w:val="center"/>
        </w:trPr>
        <w:tc>
          <w:tcPr>
            <w:tcW w:w="3318" w:type="dxa"/>
            <w:tcBorders>
              <w:top w:val="nil"/>
              <w:left w:val="nil"/>
              <w:bottom w:val="nil"/>
              <w:right w:val="nil"/>
            </w:tcBorders>
            <w:vAlign w:val="center"/>
          </w:tcPr>
          <w:p w14:paraId="6A3565FF">
            <w:pPr>
              <w:widowControl/>
              <w:jc w:val="left"/>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Gastrointestinal disorders#</w:t>
            </w:r>
          </w:p>
        </w:tc>
        <w:tc>
          <w:tcPr>
            <w:tcW w:w="1193" w:type="dxa"/>
            <w:tcBorders>
              <w:top w:val="nil"/>
              <w:left w:val="nil"/>
              <w:bottom w:val="nil"/>
              <w:right w:val="nil"/>
            </w:tcBorders>
            <w:vAlign w:val="center"/>
          </w:tcPr>
          <w:p w14:paraId="1D96D15D">
            <w:pPr>
              <w:widowControl/>
              <w:jc w:val="center"/>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10017947</w:t>
            </w:r>
          </w:p>
        </w:tc>
        <w:tc>
          <w:tcPr>
            <w:tcW w:w="1030" w:type="dxa"/>
            <w:tcBorders>
              <w:top w:val="nil"/>
              <w:left w:val="nil"/>
              <w:bottom w:val="nil"/>
              <w:right w:val="nil"/>
            </w:tcBorders>
            <w:vAlign w:val="center"/>
          </w:tcPr>
          <w:p w14:paraId="3DEAA70A">
            <w:pPr>
              <w:widowControl/>
              <w:jc w:val="center"/>
              <w:textAlignment w:val="center"/>
              <w:rPr>
                <w:rFonts w:ascii="Times New Roman" w:hAnsi="Times New Roman" w:eastAsia="DengXian"/>
                <w:color w:val="000000"/>
                <w:kern w:val="0"/>
                <w:sz w:val="24"/>
                <w:szCs w:val="24"/>
              </w:rPr>
            </w:pPr>
            <w:r>
              <w:rPr>
                <w:rFonts w:ascii="Times New Roman" w:hAnsi="Times New Roman" w:eastAsia="DengXian"/>
                <w:color w:val="000000"/>
                <w:kern w:val="0"/>
                <w:sz w:val="24"/>
                <w:szCs w:val="24"/>
              </w:rPr>
              <w:t>3205</w:t>
            </w:r>
          </w:p>
        </w:tc>
        <w:tc>
          <w:tcPr>
            <w:tcW w:w="2285" w:type="dxa"/>
            <w:tcBorders>
              <w:top w:val="nil"/>
              <w:left w:val="nil"/>
              <w:bottom w:val="nil"/>
              <w:right w:val="nil"/>
            </w:tcBorders>
            <w:vAlign w:val="center"/>
          </w:tcPr>
          <w:p w14:paraId="6E1704B2">
            <w:pPr>
              <w:widowControl/>
              <w:jc w:val="center"/>
              <w:textAlignment w:val="center"/>
              <w:rPr>
                <w:rFonts w:ascii="Times New Roman Regular" w:hAnsi="Times New Roman Regular"/>
                <w:color w:val="000000"/>
                <w:kern w:val="0"/>
                <w:sz w:val="24"/>
                <w:szCs w:val="24"/>
              </w:rPr>
            </w:pPr>
            <w:r>
              <w:rPr>
                <w:rFonts w:ascii="Times New Roman Regular" w:hAnsi="Times New Roman Regular"/>
                <w:color w:val="000000"/>
                <w:kern w:val="0"/>
                <w:sz w:val="24"/>
                <w:szCs w:val="24"/>
              </w:rPr>
              <w:t>4.78 (4.61-4.96)</w:t>
            </w:r>
          </w:p>
        </w:tc>
        <w:tc>
          <w:tcPr>
            <w:tcW w:w="2250" w:type="dxa"/>
            <w:tcBorders>
              <w:top w:val="nil"/>
              <w:left w:val="nil"/>
              <w:bottom w:val="nil"/>
              <w:right w:val="nil"/>
            </w:tcBorders>
            <w:vAlign w:val="center"/>
          </w:tcPr>
          <w:p w14:paraId="041C073F">
            <w:pPr>
              <w:widowControl/>
              <w:jc w:val="center"/>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4.33 (4.19-4.48)</w:t>
            </w:r>
          </w:p>
        </w:tc>
        <w:tc>
          <w:tcPr>
            <w:tcW w:w="1138" w:type="dxa"/>
            <w:tcBorders>
              <w:top w:val="nil"/>
              <w:left w:val="nil"/>
              <w:bottom w:val="nil"/>
              <w:right w:val="nil"/>
            </w:tcBorders>
            <w:vAlign w:val="center"/>
          </w:tcPr>
          <w:p w14:paraId="424EA2A0">
            <w:pPr>
              <w:widowControl/>
              <w:jc w:val="left"/>
              <w:textAlignment w:val="center"/>
              <w:rPr>
                <w:rFonts w:ascii="Times New Roman Bold" w:hAnsi="Times New Roman Bold" w:cs="Times New Roman Bold"/>
                <w:b/>
                <w:bCs/>
                <w:kern w:val="0"/>
                <w:sz w:val="24"/>
                <w:szCs w:val="24"/>
              </w:rPr>
            </w:pPr>
            <w:r>
              <w:rPr>
                <w:rFonts w:ascii="Times New Roman" w:hAnsi="Times New Roman" w:eastAsia="DengXian"/>
                <w:color w:val="000000"/>
                <w:kern w:val="0"/>
                <w:sz w:val="24"/>
                <w:szCs w:val="24"/>
              </w:rPr>
              <w:t xml:space="preserve">8346.07 </w:t>
            </w:r>
          </w:p>
        </w:tc>
        <w:tc>
          <w:tcPr>
            <w:tcW w:w="1444" w:type="dxa"/>
            <w:tcBorders>
              <w:top w:val="nil"/>
              <w:left w:val="nil"/>
              <w:bottom w:val="nil"/>
              <w:right w:val="nil"/>
            </w:tcBorders>
            <w:vAlign w:val="center"/>
          </w:tcPr>
          <w:p w14:paraId="5DC1AA71">
            <w:pPr>
              <w:widowControl/>
              <w:jc w:val="center"/>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2.1 (1.98)</w:t>
            </w:r>
          </w:p>
        </w:tc>
        <w:tc>
          <w:tcPr>
            <w:tcW w:w="1516" w:type="dxa"/>
            <w:tcBorders>
              <w:top w:val="nil"/>
              <w:left w:val="nil"/>
              <w:bottom w:val="nil"/>
              <w:right w:val="nil"/>
            </w:tcBorders>
            <w:vAlign w:val="center"/>
          </w:tcPr>
          <w:p w14:paraId="69B4947A">
            <w:pPr>
              <w:widowControl/>
              <w:jc w:val="center"/>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4.29 (4.14)</w:t>
            </w:r>
          </w:p>
        </w:tc>
      </w:tr>
      <w:tr w14:paraId="24932F24">
        <w:trPr>
          <w:jc w:val="center"/>
        </w:trPr>
        <w:tc>
          <w:tcPr>
            <w:tcW w:w="3318" w:type="dxa"/>
            <w:tcBorders>
              <w:top w:val="nil"/>
              <w:left w:val="nil"/>
              <w:bottom w:val="nil"/>
              <w:right w:val="nil"/>
            </w:tcBorders>
            <w:vAlign w:val="center"/>
          </w:tcPr>
          <w:p w14:paraId="5670DFE5">
            <w:pPr>
              <w:widowControl/>
              <w:jc w:val="left"/>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Neoplasms benign, malignant and unspecified (incl cysts and polyps)#</w:t>
            </w:r>
          </w:p>
        </w:tc>
        <w:tc>
          <w:tcPr>
            <w:tcW w:w="1193" w:type="dxa"/>
            <w:tcBorders>
              <w:top w:val="nil"/>
              <w:left w:val="nil"/>
              <w:bottom w:val="nil"/>
              <w:right w:val="nil"/>
            </w:tcBorders>
            <w:vAlign w:val="center"/>
          </w:tcPr>
          <w:p w14:paraId="434A2C02">
            <w:pPr>
              <w:widowControl/>
              <w:jc w:val="center"/>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10029104</w:t>
            </w:r>
          </w:p>
        </w:tc>
        <w:tc>
          <w:tcPr>
            <w:tcW w:w="1030" w:type="dxa"/>
            <w:tcBorders>
              <w:top w:val="nil"/>
              <w:left w:val="nil"/>
              <w:bottom w:val="nil"/>
              <w:right w:val="nil"/>
            </w:tcBorders>
            <w:vAlign w:val="center"/>
          </w:tcPr>
          <w:p w14:paraId="0F871E13">
            <w:pPr>
              <w:widowControl/>
              <w:jc w:val="center"/>
              <w:textAlignment w:val="center"/>
              <w:rPr>
                <w:rFonts w:ascii="Times New Roman" w:hAnsi="Times New Roman" w:eastAsia="DengXian"/>
                <w:color w:val="000000"/>
                <w:kern w:val="0"/>
                <w:sz w:val="24"/>
                <w:szCs w:val="24"/>
              </w:rPr>
            </w:pPr>
            <w:r>
              <w:rPr>
                <w:rFonts w:ascii="Times New Roman" w:hAnsi="Times New Roman" w:eastAsia="DengXian"/>
                <w:color w:val="000000"/>
                <w:kern w:val="0"/>
                <w:sz w:val="24"/>
                <w:szCs w:val="24"/>
              </w:rPr>
              <w:t>1504</w:t>
            </w:r>
          </w:p>
        </w:tc>
        <w:tc>
          <w:tcPr>
            <w:tcW w:w="2285" w:type="dxa"/>
            <w:tcBorders>
              <w:top w:val="nil"/>
              <w:left w:val="nil"/>
              <w:bottom w:val="nil"/>
              <w:right w:val="nil"/>
            </w:tcBorders>
            <w:vAlign w:val="center"/>
          </w:tcPr>
          <w:p w14:paraId="4D996E1B">
            <w:pPr>
              <w:widowControl/>
              <w:jc w:val="center"/>
              <w:textAlignment w:val="center"/>
              <w:rPr>
                <w:rFonts w:ascii="Times New Roman Regular" w:hAnsi="Times New Roman Regular"/>
                <w:color w:val="000000"/>
                <w:kern w:val="0"/>
                <w:sz w:val="24"/>
                <w:szCs w:val="24"/>
              </w:rPr>
            </w:pPr>
            <w:r>
              <w:rPr>
                <w:rFonts w:ascii="Times New Roman Regular" w:hAnsi="Times New Roman Regular"/>
                <w:color w:val="000000"/>
                <w:kern w:val="0"/>
                <w:sz w:val="24"/>
                <w:szCs w:val="24"/>
              </w:rPr>
              <w:t>5.96 (5.66-6.28)</w:t>
            </w:r>
          </w:p>
        </w:tc>
        <w:tc>
          <w:tcPr>
            <w:tcW w:w="2250" w:type="dxa"/>
            <w:tcBorders>
              <w:top w:val="nil"/>
              <w:left w:val="nil"/>
              <w:bottom w:val="nil"/>
              <w:right w:val="nil"/>
            </w:tcBorders>
            <w:vAlign w:val="center"/>
          </w:tcPr>
          <w:p w14:paraId="1221EC49">
            <w:pPr>
              <w:widowControl/>
              <w:jc w:val="center"/>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5.68 (5.41-5.97)</w:t>
            </w:r>
          </w:p>
        </w:tc>
        <w:tc>
          <w:tcPr>
            <w:tcW w:w="1138" w:type="dxa"/>
            <w:tcBorders>
              <w:top w:val="nil"/>
              <w:left w:val="nil"/>
              <w:bottom w:val="nil"/>
              <w:right w:val="nil"/>
            </w:tcBorders>
            <w:vAlign w:val="center"/>
          </w:tcPr>
          <w:p w14:paraId="3A726444">
            <w:pPr>
              <w:widowControl/>
              <w:jc w:val="left"/>
              <w:textAlignment w:val="center"/>
              <w:rPr>
                <w:rFonts w:ascii="Times New Roman Bold" w:hAnsi="Times New Roman Bold" w:cs="Times New Roman Bold"/>
                <w:b/>
                <w:bCs/>
                <w:kern w:val="0"/>
                <w:sz w:val="24"/>
                <w:szCs w:val="24"/>
              </w:rPr>
            </w:pPr>
            <w:r>
              <w:rPr>
                <w:rFonts w:ascii="Times New Roman" w:hAnsi="Times New Roman" w:eastAsia="DengXian"/>
                <w:color w:val="000000"/>
                <w:kern w:val="0"/>
                <w:sz w:val="24"/>
                <w:szCs w:val="24"/>
              </w:rPr>
              <w:t xml:space="preserve">5769.29 </w:t>
            </w:r>
          </w:p>
        </w:tc>
        <w:tc>
          <w:tcPr>
            <w:tcW w:w="1444" w:type="dxa"/>
            <w:tcBorders>
              <w:top w:val="nil"/>
              <w:left w:val="nil"/>
              <w:bottom w:val="nil"/>
              <w:right w:val="nil"/>
            </w:tcBorders>
            <w:vAlign w:val="center"/>
          </w:tcPr>
          <w:p w14:paraId="517D63F0">
            <w:pPr>
              <w:widowControl/>
              <w:jc w:val="center"/>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2.49 (2.31)</w:t>
            </w:r>
          </w:p>
        </w:tc>
        <w:tc>
          <w:tcPr>
            <w:tcW w:w="1516" w:type="dxa"/>
            <w:tcBorders>
              <w:top w:val="nil"/>
              <w:left w:val="nil"/>
              <w:bottom w:val="nil"/>
              <w:right w:val="nil"/>
            </w:tcBorders>
            <w:vAlign w:val="center"/>
          </w:tcPr>
          <w:p w14:paraId="526FC2DB">
            <w:pPr>
              <w:widowControl/>
              <w:jc w:val="center"/>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5.61 (5.32)</w:t>
            </w:r>
          </w:p>
        </w:tc>
      </w:tr>
      <w:tr w14:paraId="7BAC1449">
        <w:trPr>
          <w:jc w:val="center"/>
        </w:trPr>
        <w:tc>
          <w:tcPr>
            <w:tcW w:w="3318" w:type="dxa"/>
            <w:tcBorders>
              <w:top w:val="nil"/>
              <w:left w:val="nil"/>
              <w:bottom w:val="nil"/>
              <w:right w:val="nil"/>
            </w:tcBorders>
            <w:vAlign w:val="center"/>
          </w:tcPr>
          <w:p w14:paraId="3D843AEA">
            <w:pPr>
              <w:widowControl/>
              <w:jc w:val="left"/>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Respiratory, thoracic and mediastinal disorders#</w:t>
            </w:r>
          </w:p>
        </w:tc>
        <w:tc>
          <w:tcPr>
            <w:tcW w:w="1193" w:type="dxa"/>
            <w:tcBorders>
              <w:top w:val="nil"/>
              <w:left w:val="nil"/>
              <w:bottom w:val="nil"/>
              <w:right w:val="nil"/>
            </w:tcBorders>
            <w:vAlign w:val="center"/>
          </w:tcPr>
          <w:p w14:paraId="14D4FDC0">
            <w:pPr>
              <w:widowControl/>
              <w:jc w:val="center"/>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10038738</w:t>
            </w:r>
          </w:p>
        </w:tc>
        <w:tc>
          <w:tcPr>
            <w:tcW w:w="1030" w:type="dxa"/>
            <w:tcBorders>
              <w:top w:val="nil"/>
              <w:left w:val="nil"/>
              <w:bottom w:val="nil"/>
              <w:right w:val="nil"/>
            </w:tcBorders>
            <w:vAlign w:val="center"/>
          </w:tcPr>
          <w:p w14:paraId="4A1760F4">
            <w:pPr>
              <w:widowControl/>
              <w:jc w:val="center"/>
              <w:textAlignment w:val="center"/>
              <w:rPr>
                <w:rFonts w:ascii="Times New Roman" w:hAnsi="Times New Roman" w:eastAsia="DengXian"/>
                <w:color w:val="000000"/>
                <w:kern w:val="0"/>
                <w:sz w:val="24"/>
                <w:szCs w:val="24"/>
              </w:rPr>
            </w:pPr>
            <w:r>
              <w:rPr>
                <w:rFonts w:ascii="Times New Roman" w:hAnsi="Times New Roman" w:eastAsia="DengXian"/>
                <w:color w:val="000000"/>
                <w:kern w:val="0"/>
                <w:sz w:val="24"/>
                <w:szCs w:val="24"/>
              </w:rPr>
              <w:t>1257</w:t>
            </w:r>
          </w:p>
        </w:tc>
        <w:tc>
          <w:tcPr>
            <w:tcW w:w="2285" w:type="dxa"/>
            <w:tcBorders>
              <w:top w:val="nil"/>
              <w:left w:val="nil"/>
              <w:bottom w:val="nil"/>
              <w:right w:val="nil"/>
            </w:tcBorders>
            <w:vAlign w:val="center"/>
          </w:tcPr>
          <w:p w14:paraId="7DEF3EF0">
            <w:pPr>
              <w:widowControl/>
              <w:jc w:val="center"/>
              <w:textAlignment w:val="center"/>
              <w:rPr>
                <w:rFonts w:ascii="Times New Roman Regular" w:hAnsi="Times New Roman Regular"/>
                <w:color w:val="000000"/>
                <w:kern w:val="0"/>
                <w:sz w:val="24"/>
                <w:szCs w:val="24"/>
              </w:rPr>
            </w:pPr>
            <w:r>
              <w:rPr>
                <w:rFonts w:ascii="Times New Roman Regular" w:hAnsi="Times New Roman Regular"/>
                <w:color w:val="000000"/>
                <w:kern w:val="0"/>
                <w:sz w:val="24"/>
                <w:szCs w:val="24"/>
              </w:rPr>
              <w:t>5.68 (5.36-6.01)</w:t>
            </w:r>
          </w:p>
        </w:tc>
        <w:tc>
          <w:tcPr>
            <w:tcW w:w="2250" w:type="dxa"/>
            <w:tcBorders>
              <w:top w:val="nil"/>
              <w:left w:val="nil"/>
              <w:bottom w:val="nil"/>
              <w:right w:val="nil"/>
            </w:tcBorders>
            <w:vAlign w:val="center"/>
          </w:tcPr>
          <w:p w14:paraId="5E4E7645">
            <w:pPr>
              <w:widowControl/>
              <w:jc w:val="center"/>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5.46 (5.17-5.76)</w:t>
            </w:r>
          </w:p>
        </w:tc>
        <w:tc>
          <w:tcPr>
            <w:tcW w:w="1138" w:type="dxa"/>
            <w:tcBorders>
              <w:top w:val="nil"/>
              <w:left w:val="nil"/>
              <w:bottom w:val="nil"/>
              <w:right w:val="nil"/>
            </w:tcBorders>
            <w:vAlign w:val="center"/>
          </w:tcPr>
          <w:p w14:paraId="031C234A">
            <w:pPr>
              <w:widowControl/>
              <w:jc w:val="left"/>
              <w:textAlignment w:val="center"/>
              <w:rPr>
                <w:rFonts w:ascii="Times New Roman Bold" w:hAnsi="Times New Roman Bold" w:cs="Times New Roman Bold"/>
                <w:b/>
                <w:bCs/>
                <w:kern w:val="0"/>
                <w:sz w:val="24"/>
                <w:szCs w:val="24"/>
              </w:rPr>
            </w:pPr>
            <w:r>
              <w:rPr>
                <w:rFonts w:ascii="Times New Roman" w:hAnsi="Times New Roman" w:eastAsia="DengXian"/>
                <w:color w:val="000000"/>
                <w:kern w:val="0"/>
                <w:sz w:val="24"/>
                <w:szCs w:val="24"/>
              </w:rPr>
              <w:t xml:space="preserve">4546.81 </w:t>
            </w:r>
          </w:p>
        </w:tc>
        <w:tc>
          <w:tcPr>
            <w:tcW w:w="1444" w:type="dxa"/>
            <w:tcBorders>
              <w:top w:val="nil"/>
              <w:left w:val="nil"/>
              <w:bottom w:val="nil"/>
              <w:right w:val="nil"/>
            </w:tcBorders>
            <w:vAlign w:val="center"/>
          </w:tcPr>
          <w:p w14:paraId="698288C6">
            <w:pPr>
              <w:widowControl/>
              <w:jc w:val="center"/>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2.43 (2.24)</w:t>
            </w:r>
          </w:p>
        </w:tc>
        <w:tc>
          <w:tcPr>
            <w:tcW w:w="1516" w:type="dxa"/>
            <w:tcBorders>
              <w:top w:val="nil"/>
              <w:left w:val="nil"/>
              <w:bottom w:val="nil"/>
              <w:right w:val="nil"/>
            </w:tcBorders>
            <w:vAlign w:val="center"/>
          </w:tcPr>
          <w:p w14:paraId="4FC60B4B">
            <w:pPr>
              <w:widowControl/>
              <w:jc w:val="center"/>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5.39 (5.09)</w:t>
            </w:r>
          </w:p>
        </w:tc>
      </w:tr>
      <w:tr w14:paraId="4B190202">
        <w:trPr>
          <w:jc w:val="center"/>
        </w:trPr>
        <w:tc>
          <w:tcPr>
            <w:tcW w:w="3318" w:type="dxa"/>
            <w:tcBorders>
              <w:top w:val="nil"/>
              <w:left w:val="nil"/>
              <w:bottom w:val="nil"/>
              <w:right w:val="nil"/>
            </w:tcBorders>
            <w:vAlign w:val="center"/>
          </w:tcPr>
          <w:p w14:paraId="13931EC5">
            <w:pPr>
              <w:widowControl/>
              <w:jc w:val="left"/>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Metabolism and nutrition disorders#</w:t>
            </w:r>
          </w:p>
        </w:tc>
        <w:tc>
          <w:tcPr>
            <w:tcW w:w="1193" w:type="dxa"/>
            <w:tcBorders>
              <w:top w:val="nil"/>
              <w:left w:val="nil"/>
              <w:bottom w:val="nil"/>
              <w:right w:val="nil"/>
            </w:tcBorders>
            <w:vAlign w:val="center"/>
          </w:tcPr>
          <w:p w14:paraId="0E1034C6">
            <w:pPr>
              <w:widowControl/>
              <w:jc w:val="center"/>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10027433</w:t>
            </w:r>
          </w:p>
        </w:tc>
        <w:tc>
          <w:tcPr>
            <w:tcW w:w="1030" w:type="dxa"/>
            <w:tcBorders>
              <w:top w:val="nil"/>
              <w:left w:val="nil"/>
              <w:bottom w:val="nil"/>
              <w:right w:val="nil"/>
            </w:tcBorders>
            <w:vAlign w:val="center"/>
          </w:tcPr>
          <w:p w14:paraId="1EC5552A">
            <w:pPr>
              <w:widowControl/>
              <w:jc w:val="center"/>
              <w:textAlignment w:val="center"/>
              <w:rPr>
                <w:rFonts w:ascii="Times New Roman" w:hAnsi="Times New Roman" w:eastAsia="DengXian"/>
                <w:color w:val="000000"/>
                <w:kern w:val="0"/>
                <w:sz w:val="24"/>
                <w:szCs w:val="24"/>
              </w:rPr>
            </w:pPr>
            <w:r>
              <w:rPr>
                <w:rFonts w:ascii="Times New Roman" w:hAnsi="Times New Roman" w:eastAsia="DengXian"/>
                <w:color w:val="000000"/>
                <w:kern w:val="0"/>
                <w:sz w:val="24"/>
                <w:szCs w:val="24"/>
              </w:rPr>
              <w:t>1247</w:t>
            </w:r>
          </w:p>
        </w:tc>
        <w:tc>
          <w:tcPr>
            <w:tcW w:w="2285" w:type="dxa"/>
            <w:tcBorders>
              <w:top w:val="nil"/>
              <w:left w:val="nil"/>
              <w:bottom w:val="nil"/>
              <w:right w:val="nil"/>
            </w:tcBorders>
            <w:vAlign w:val="center"/>
          </w:tcPr>
          <w:p w14:paraId="1360FFCE">
            <w:pPr>
              <w:widowControl/>
              <w:jc w:val="center"/>
              <w:textAlignment w:val="center"/>
              <w:rPr>
                <w:rFonts w:ascii="Times New Roman Regular" w:hAnsi="Times New Roman Regular"/>
                <w:color w:val="000000"/>
                <w:kern w:val="0"/>
                <w:sz w:val="24"/>
                <w:szCs w:val="24"/>
              </w:rPr>
            </w:pPr>
            <w:r>
              <w:rPr>
                <w:rFonts w:ascii="Times New Roman Regular" w:hAnsi="Times New Roman Regular"/>
                <w:color w:val="000000"/>
                <w:kern w:val="0"/>
                <w:sz w:val="24"/>
                <w:szCs w:val="24"/>
              </w:rPr>
              <w:t>2.76 (2.6-2.92)</w:t>
            </w:r>
          </w:p>
        </w:tc>
        <w:tc>
          <w:tcPr>
            <w:tcW w:w="2250" w:type="dxa"/>
            <w:tcBorders>
              <w:top w:val="nil"/>
              <w:left w:val="nil"/>
              <w:bottom w:val="nil"/>
              <w:right w:val="nil"/>
            </w:tcBorders>
            <w:vAlign w:val="center"/>
          </w:tcPr>
          <w:p w14:paraId="0B42499F">
            <w:pPr>
              <w:widowControl/>
              <w:jc w:val="center"/>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2.68 (2.53-2.82)</w:t>
            </w:r>
          </w:p>
        </w:tc>
        <w:tc>
          <w:tcPr>
            <w:tcW w:w="1138" w:type="dxa"/>
            <w:tcBorders>
              <w:top w:val="nil"/>
              <w:left w:val="nil"/>
              <w:bottom w:val="nil"/>
              <w:right w:val="nil"/>
            </w:tcBorders>
            <w:vAlign w:val="center"/>
          </w:tcPr>
          <w:p w14:paraId="090F0CB1">
            <w:pPr>
              <w:widowControl/>
              <w:jc w:val="left"/>
              <w:textAlignment w:val="center"/>
              <w:rPr>
                <w:rFonts w:ascii="Times New Roman Bold" w:hAnsi="Times New Roman Bold" w:cs="Times New Roman Bold"/>
                <w:b/>
                <w:bCs/>
                <w:kern w:val="0"/>
                <w:sz w:val="24"/>
                <w:szCs w:val="24"/>
              </w:rPr>
            </w:pPr>
            <w:r>
              <w:rPr>
                <w:rFonts w:ascii="Times New Roman" w:hAnsi="Times New Roman" w:eastAsia="DengXian"/>
                <w:color w:val="000000"/>
                <w:kern w:val="0"/>
                <w:sz w:val="24"/>
                <w:szCs w:val="24"/>
              </w:rPr>
              <w:t xml:space="preserve">1321.12 </w:t>
            </w:r>
          </w:p>
        </w:tc>
        <w:tc>
          <w:tcPr>
            <w:tcW w:w="1444" w:type="dxa"/>
            <w:tcBorders>
              <w:top w:val="nil"/>
              <w:left w:val="nil"/>
              <w:bottom w:val="nil"/>
              <w:right w:val="nil"/>
            </w:tcBorders>
            <w:vAlign w:val="center"/>
          </w:tcPr>
          <w:p w14:paraId="2166910F">
            <w:pPr>
              <w:widowControl/>
              <w:jc w:val="center"/>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1.41 (1.22)</w:t>
            </w:r>
          </w:p>
        </w:tc>
        <w:tc>
          <w:tcPr>
            <w:tcW w:w="1516" w:type="dxa"/>
            <w:tcBorders>
              <w:top w:val="nil"/>
              <w:left w:val="nil"/>
              <w:bottom w:val="nil"/>
              <w:right w:val="nil"/>
            </w:tcBorders>
            <w:vAlign w:val="center"/>
          </w:tcPr>
          <w:p w14:paraId="76D7AD1C">
            <w:pPr>
              <w:widowControl/>
              <w:jc w:val="center"/>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2.66 (2.51)</w:t>
            </w:r>
          </w:p>
        </w:tc>
      </w:tr>
      <w:tr w14:paraId="1AE70B21">
        <w:trPr>
          <w:jc w:val="center"/>
        </w:trPr>
        <w:tc>
          <w:tcPr>
            <w:tcW w:w="3318" w:type="dxa"/>
            <w:tcBorders>
              <w:top w:val="nil"/>
              <w:left w:val="nil"/>
              <w:bottom w:val="nil"/>
              <w:right w:val="nil"/>
            </w:tcBorders>
            <w:vAlign w:val="center"/>
          </w:tcPr>
          <w:p w14:paraId="196EE3B7">
            <w:pPr>
              <w:widowControl/>
              <w:jc w:val="left"/>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Eye disorders#</w:t>
            </w:r>
          </w:p>
        </w:tc>
        <w:tc>
          <w:tcPr>
            <w:tcW w:w="1193" w:type="dxa"/>
            <w:tcBorders>
              <w:top w:val="nil"/>
              <w:left w:val="nil"/>
              <w:bottom w:val="nil"/>
              <w:right w:val="nil"/>
            </w:tcBorders>
            <w:vAlign w:val="center"/>
          </w:tcPr>
          <w:p w14:paraId="4E22A6EA">
            <w:pPr>
              <w:widowControl/>
              <w:jc w:val="center"/>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10015919</w:t>
            </w:r>
          </w:p>
        </w:tc>
        <w:tc>
          <w:tcPr>
            <w:tcW w:w="1030" w:type="dxa"/>
            <w:tcBorders>
              <w:top w:val="nil"/>
              <w:left w:val="nil"/>
              <w:bottom w:val="nil"/>
              <w:right w:val="nil"/>
            </w:tcBorders>
            <w:vAlign w:val="center"/>
          </w:tcPr>
          <w:p w14:paraId="226A4B22">
            <w:pPr>
              <w:widowControl/>
              <w:jc w:val="center"/>
              <w:textAlignment w:val="center"/>
              <w:rPr>
                <w:rFonts w:ascii="Times New Roman" w:hAnsi="Times New Roman" w:eastAsia="DengXian"/>
                <w:color w:val="000000"/>
                <w:kern w:val="0"/>
                <w:sz w:val="24"/>
                <w:szCs w:val="24"/>
              </w:rPr>
            </w:pPr>
            <w:r>
              <w:rPr>
                <w:rFonts w:ascii="Times New Roman" w:hAnsi="Times New Roman" w:eastAsia="DengXian"/>
                <w:color w:val="000000"/>
                <w:kern w:val="0"/>
                <w:sz w:val="24"/>
                <w:szCs w:val="24"/>
              </w:rPr>
              <w:t>472</w:t>
            </w:r>
          </w:p>
        </w:tc>
        <w:tc>
          <w:tcPr>
            <w:tcW w:w="2285" w:type="dxa"/>
            <w:tcBorders>
              <w:top w:val="nil"/>
              <w:left w:val="nil"/>
              <w:bottom w:val="nil"/>
              <w:right w:val="nil"/>
            </w:tcBorders>
            <w:vAlign w:val="center"/>
          </w:tcPr>
          <w:p w14:paraId="62D10EF2">
            <w:pPr>
              <w:widowControl/>
              <w:jc w:val="center"/>
              <w:textAlignment w:val="center"/>
              <w:rPr>
                <w:rFonts w:ascii="Times New Roman Regular" w:hAnsi="Times New Roman Regular"/>
                <w:color w:val="000000"/>
                <w:kern w:val="0"/>
                <w:sz w:val="24"/>
                <w:szCs w:val="24"/>
              </w:rPr>
            </w:pPr>
            <w:r>
              <w:rPr>
                <w:rFonts w:ascii="Times New Roman Regular" w:hAnsi="Times New Roman Regular"/>
                <w:color w:val="000000"/>
                <w:kern w:val="0"/>
                <w:sz w:val="24"/>
                <w:szCs w:val="24"/>
              </w:rPr>
              <w:t>4.43 (4.05-4.86)</w:t>
            </w:r>
          </w:p>
        </w:tc>
        <w:tc>
          <w:tcPr>
            <w:tcW w:w="2250" w:type="dxa"/>
            <w:tcBorders>
              <w:top w:val="nil"/>
              <w:left w:val="nil"/>
              <w:bottom w:val="nil"/>
              <w:right w:val="nil"/>
            </w:tcBorders>
            <w:vAlign w:val="center"/>
          </w:tcPr>
          <w:p w14:paraId="09375194">
            <w:pPr>
              <w:widowControl/>
              <w:jc w:val="center"/>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4.37 (4-4.79)</w:t>
            </w:r>
          </w:p>
        </w:tc>
        <w:tc>
          <w:tcPr>
            <w:tcW w:w="1138" w:type="dxa"/>
            <w:tcBorders>
              <w:top w:val="nil"/>
              <w:left w:val="nil"/>
              <w:bottom w:val="nil"/>
              <w:right w:val="nil"/>
            </w:tcBorders>
            <w:vAlign w:val="center"/>
          </w:tcPr>
          <w:p w14:paraId="2A415151">
            <w:pPr>
              <w:widowControl/>
              <w:jc w:val="left"/>
              <w:textAlignment w:val="center"/>
              <w:rPr>
                <w:rFonts w:ascii="Times New Roman Bold" w:hAnsi="Times New Roman Bold" w:cs="Times New Roman Bold"/>
                <w:b/>
                <w:bCs/>
                <w:kern w:val="0"/>
                <w:sz w:val="24"/>
                <w:szCs w:val="24"/>
              </w:rPr>
            </w:pPr>
            <w:r>
              <w:rPr>
                <w:rFonts w:ascii="Times New Roman" w:hAnsi="Times New Roman" w:eastAsia="DengXian"/>
                <w:color w:val="000000"/>
                <w:kern w:val="0"/>
                <w:sz w:val="24"/>
                <w:szCs w:val="24"/>
              </w:rPr>
              <w:t xml:space="preserve">1217.98 </w:t>
            </w:r>
          </w:p>
        </w:tc>
        <w:tc>
          <w:tcPr>
            <w:tcW w:w="1444" w:type="dxa"/>
            <w:tcBorders>
              <w:top w:val="nil"/>
              <w:left w:val="nil"/>
              <w:bottom w:val="nil"/>
              <w:right w:val="nil"/>
            </w:tcBorders>
            <w:vAlign w:val="center"/>
          </w:tcPr>
          <w:p w14:paraId="26D94CE5">
            <w:pPr>
              <w:widowControl/>
              <w:jc w:val="center"/>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2.11 (1.81)</w:t>
            </w:r>
          </w:p>
        </w:tc>
        <w:tc>
          <w:tcPr>
            <w:tcW w:w="1516" w:type="dxa"/>
            <w:tcBorders>
              <w:top w:val="nil"/>
              <w:left w:val="nil"/>
              <w:bottom w:val="nil"/>
              <w:right w:val="nil"/>
            </w:tcBorders>
            <w:vAlign w:val="center"/>
          </w:tcPr>
          <w:p w14:paraId="7967B711">
            <w:pPr>
              <w:widowControl/>
              <w:jc w:val="center"/>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4.33 (3.95)</w:t>
            </w:r>
          </w:p>
        </w:tc>
      </w:tr>
      <w:tr w14:paraId="51EA9F83">
        <w:trPr>
          <w:jc w:val="center"/>
        </w:trPr>
        <w:tc>
          <w:tcPr>
            <w:tcW w:w="3318" w:type="dxa"/>
            <w:tcBorders>
              <w:top w:val="nil"/>
              <w:left w:val="nil"/>
              <w:bottom w:val="nil"/>
              <w:right w:val="nil"/>
            </w:tcBorders>
            <w:vAlign w:val="center"/>
          </w:tcPr>
          <w:p w14:paraId="2CA29F85">
            <w:pPr>
              <w:widowControl/>
              <w:jc w:val="left"/>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Infections and infestations#</w:t>
            </w:r>
          </w:p>
        </w:tc>
        <w:tc>
          <w:tcPr>
            <w:tcW w:w="1193" w:type="dxa"/>
            <w:tcBorders>
              <w:top w:val="nil"/>
              <w:left w:val="nil"/>
              <w:bottom w:val="nil"/>
              <w:right w:val="nil"/>
            </w:tcBorders>
            <w:vAlign w:val="center"/>
          </w:tcPr>
          <w:p w14:paraId="75CE836F">
            <w:pPr>
              <w:widowControl/>
              <w:jc w:val="center"/>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10021881</w:t>
            </w:r>
          </w:p>
        </w:tc>
        <w:tc>
          <w:tcPr>
            <w:tcW w:w="1030" w:type="dxa"/>
            <w:tcBorders>
              <w:top w:val="nil"/>
              <w:left w:val="nil"/>
              <w:bottom w:val="nil"/>
              <w:right w:val="nil"/>
            </w:tcBorders>
            <w:vAlign w:val="center"/>
          </w:tcPr>
          <w:p w14:paraId="0E953C87">
            <w:pPr>
              <w:widowControl/>
              <w:jc w:val="center"/>
              <w:textAlignment w:val="center"/>
              <w:rPr>
                <w:rFonts w:ascii="Times New Roman" w:hAnsi="Times New Roman" w:eastAsia="DengXian"/>
                <w:color w:val="000000"/>
                <w:kern w:val="0"/>
                <w:sz w:val="24"/>
                <w:szCs w:val="24"/>
              </w:rPr>
            </w:pPr>
            <w:r>
              <w:rPr>
                <w:rFonts w:ascii="Times New Roman" w:hAnsi="Times New Roman" w:eastAsia="DengXian"/>
                <w:color w:val="000000"/>
                <w:kern w:val="0"/>
                <w:sz w:val="24"/>
                <w:szCs w:val="24"/>
              </w:rPr>
              <w:t>248</w:t>
            </w:r>
          </w:p>
        </w:tc>
        <w:tc>
          <w:tcPr>
            <w:tcW w:w="2285" w:type="dxa"/>
            <w:tcBorders>
              <w:top w:val="nil"/>
              <w:left w:val="nil"/>
              <w:bottom w:val="nil"/>
              <w:right w:val="nil"/>
            </w:tcBorders>
            <w:vAlign w:val="center"/>
          </w:tcPr>
          <w:p w14:paraId="0E3FBC9F">
            <w:pPr>
              <w:widowControl/>
              <w:jc w:val="center"/>
              <w:textAlignment w:val="center"/>
              <w:rPr>
                <w:rFonts w:ascii="Times New Roman Regular" w:hAnsi="Times New Roman Regular"/>
                <w:color w:val="000000"/>
                <w:kern w:val="0"/>
                <w:sz w:val="24"/>
                <w:szCs w:val="24"/>
              </w:rPr>
            </w:pPr>
            <w:r>
              <w:rPr>
                <w:rFonts w:ascii="Times New Roman Regular" w:hAnsi="Times New Roman Regular"/>
                <w:color w:val="000000"/>
                <w:kern w:val="0"/>
                <w:sz w:val="24"/>
                <w:szCs w:val="24"/>
              </w:rPr>
              <w:t>9.12 (8.03-10.35)</w:t>
            </w:r>
          </w:p>
        </w:tc>
        <w:tc>
          <w:tcPr>
            <w:tcW w:w="2250" w:type="dxa"/>
            <w:tcBorders>
              <w:top w:val="nil"/>
              <w:left w:val="nil"/>
              <w:bottom w:val="nil"/>
              <w:right w:val="nil"/>
            </w:tcBorders>
            <w:vAlign w:val="center"/>
          </w:tcPr>
          <w:p w14:paraId="3E33CE5E">
            <w:pPr>
              <w:widowControl/>
              <w:jc w:val="center"/>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9.04 (7.97-10.25)</w:t>
            </w:r>
          </w:p>
        </w:tc>
        <w:tc>
          <w:tcPr>
            <w:tcW w:w="1138" w:type="dxa"/>
            <w:tcBorders>
              <w:top w:val="nil"/>
              <w:left w:val="nil"/>
              <w:bottom w:val="nil"/>
              <w:right w:val="nil"/>
            </w:tcBorders>
            <w:vAlign w:val="center"/>
          </w:tcPr>
          <w:p w14:paraId="6480C53C">
            <w:pPr>
              <w:widowControl/>
              <w:jc w:val="left"/>
              <w:textAlignment w:val="center"/>
              <w:rPr>
                <w:rFonts w:ascii="Times New Roman Bold" w:hAnsi="Times New Roman Bold" w:cs="Times New Roman Bold"/>
                <w:b/>
                <w:bCs/>
                <w:kern w:val="0"/>
                <w:sz w:val="24"/>
                <w:szCs w:val="24"/>
              </w:rPr>
            </w:pPr>
            <w:r>
              <w:rPr>
                <w:rFonts w:ascii="Times New Roman" w:hAnsi="Times New Roman" w:eastAsia="DengXian"/>
                <w:color w:val="000000"/>
                <w:kern w:val="0"/>
                <w:sz w:val="24"/>
                <w:szCs w:val="24"/>
              </w:rPr>
              <w:t xml:space="preserve">1730.12 </w:t>
            </w:r>
          </w:p>
        </w:tc>
        <w:tc>
          <w:tcPr>
            <w:tcW w:w="1444" w:type="dxa"/>
            <w:tcBorders>
              <w:top w:val="nil"/>
              <w:left w:val="nil"/>
              <w:bottom w:val="nil"/>
              <w:right w:val="nil"/>
            </w:tcBorders>
            <w:vAlign w:val="center"/>
          </w:tcPr>
          <w:p w14:paraId="3B1B8DE0">
            <w:pPr>
              <w:widowControl/>
              <w:jc w:val="center"/>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3.14 (2.72)</w:t>
            </w:r>
          </w:p>
        </w:tc>
        <w:tc>
          <w:tcPr>
            <w:tcW w:w="1516" w:type="dxa"/>
            <w:tcBorders>
              <w:top w:val="nil"/>
              <w:left w:val="nil"/>
              <w:bottom w:val="nil"/>
              <w:right w:val="nil"/>
            </w:tcBorders>
            <w:vAlign w:val="center"/>
          </w:tcPr>
          <w:p w14:paraId="2B1EA69D">
            <w:pPr>
              <w:widowControl/>
              <w:jc w:val="center"/>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8.84 (7.78)</w:t>
            </w:r>
          </w:p>
        </w:tc>
      </w:tr>
      <w:tr w14:paraId="228E3D80">
        <w:trPr>
          <w:jc w:val="center"/>
        </w:trPr>
        <w:tc>
          <w:tcPr>
            <w:tcW w:w="3318" w:type="dxa"/>
            <w:tcBorders>
              <w:top w:val="nil"/>
              <w:left w:val="nil"/>
              <w:bottom w:val="nil"/>
              <w:right w:val="nil"/>
            </w:tcBorders>
            <w:vAlign w:val="center"/>
          </w:tcPr>
          <w:p w14:paraId="30F6538F">
            <w:pPr>
              <w:widowControl/>
              <w:jc w:val="left"/>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Musculoskeletal and connective tissue disorders#</w:t>
            </w:r>
          </w:p>
        </w:tc>
        <w:tc>
          <w:tcPr>
            <w:tcW w:w="1193" w:type="dxa"/>
            <w:tcBorders>
              <w:top w:val="nil"/>
              <w:left w:val="nil"/>
              <w:bottom w:val="nil"/>
              <w:right w:val="nil"/>
            </w:tcBorders>
            <w:vAlign w:val="center"/>
          </w:tcPr>
          <w:p w14:paraId="74F06F29">
            <w:pPr>
              <w:widowControl/>
              <w:jc w:val="center"/>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10028395</w:t>
            </w:r>
          </w:p>
        </w:tc>
        <w:tc>
          <w:tcPr>
            <w:tcW w:w="1030" w:type="dxa"/>
            <w:tcBorders>
              <w:top w:val="nil"/>
              <w:left w:val="nil"/>
              <w:bottom w:val="nil"/>
              <w:right w:val="nil"/>
            </w:tcBorders>
            <w:vAlign w:val="center"/>
          </w:tcPr>
          <w:p w14:paraId="46E56C68">
            <w:pPr>
              <w:widowControl/>
              <w:jc w:val="center"/>
              <w:textAlignment w:val="center"/>
              <w:rPr>
                <w:rFonts w:ascii="Times New Roman" w:hAnsi="Times New Roman" w:eastAsia="DengXian"/>
                <w:color w:val="000000"/>
                <w:kern w:val="0"/>
                <w:sz w:val="24"/>
                <w:szCs w:val="24"/>
              </w:rPr>
            </w:pPr>
            <w:r>
              <w:rPr>
                <w:rFonts w:ascii="Times New Roman" w:hAnsi="Times New Roman" w:eastAsia="DengXian"/>
                <w:color w:val="000000"/>
                <w:kern w:val="0"/>
                <w:sz w:val="24"/>
                <w:szCs w:val="24"/>
              </w:rPr>
              <w:t>189</w:t>
            </w:r>
          </w:p>
        </w:tc>
        <w:tc>
          <w:tcPr>
            <w:tcW w:w="2285" w:type="dxa"/>
            <w:tcBorders>
              <w:top w:val="nil"/>
              <w:left w:val="nil"/>
              <w:bottom w:val="nil"/>
              <w:right w:val="nil"/>
            </w:tcBorders>
            <w:vAlign w:val="center"/>
          </w:tcPr>
          <w:p w14:paraId="6A7CBD00">
            <w:pPr>
              <w:widowControl/>
              <w:jc w:val="center"/>
              <w:textAlignment w:val="center"/>
              <w:rPr>
                <w:rFonts w:ascii="Times New Roman Regular" w:hAnsi="Times New Roman Regular"/>
                <w:color w:val="000000"/>
                <w:kern w:val="0"/>
                <w:sz w:val="24"/>
                <w:szCs w:val="24"/>
              </w:rPr>
            </w:pPr>
            <w:r>
              <w:rPr>
                <w:rFonts w:ascii="Times New Roman Regular" w:hAnsi="Times New Roman Regular"/>
                <w:color w:val="000000"/>
                <w:kern w:val="0"/>
                <w:sz w:val="24"/>
                <w:szCs w:val="24"/>
              </w:rPr>
              <w:t>10.01 (8.65-11.57)</w:t>
            </w:r>
          </w:p>
        </w:tc>
        <w:tc>
          <w:tcPr>
            <w:tcW w:w="2250" w:type="dxa"/>
            <w:tcBorders>
              <w:top w:val="nil"/>
              <w:left w:val="nil"/>
              <w:bottom w:val="nil"/>
              <w:right w:val="nil"/>
            </w:tcBorders>
            <w:vAlign w:val="center"/>
          </w:tcPr>
          <w:p w14:paraId="4E6BA66E">
            <w:pPr>
              <w:widowControl/>
              <w:jc w:val="center"/>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9.94 (8.61-11.48)</w:t>
            </w:r>
          </w:p>
        </w:tc>
        <w:tc>
          <w:tcPr>
            <w:tcW w:w="1138" w:type="dxa"/>
            <w:tcBorders>
              <w:top w:val="nil"/>
              <w:left w:val="nil"/>
              <w:bottom w:val="nil"/>
              <w:right w:val="nil"/>
            </w:tcBorders>
            <w:vAlign w:val="center"/>
          </w:tcPr>
          <w:p w14:paraId="12DCA65A">
            <w:pPr>
              <w:widowControl/>
              <w:jc w:val="left"/>
              <w:textAlignment w:val="center"/>
              <w:rPr>
                <w:rFonts w:ascii="Times New Roman Bold" w:hAnsi="Times New Roman Bold" w:cs="Times New Roman Bold"/>
                <w:b/>
                <w:bCs/>
                <w:kern w:val="0"/>
                <w:sz w:val="24"/>
                <w:szCs w:val="24"/>
              </w:rPr>
            </w:pPr>
            <w:r>
              <w:rPr>
                <w:rFonts w:ascii="Times New Roman" w:hAnsi="Times New Roman" w:eastAsia="DengXian"/>
                <w:color w:val="000000"/>
                <w:kern w:val="0"/>
                <w:sz w:val="24"/>
                <w:szCs w:val="24"/>
              </w:rPr>
              <w:t xml:space="preserve">1478.67 </w:t>
            </w:r>
          </w:p>
        </w:tc>
        <w:tc>
          <w:tcPr>
            <w:tcW w:w="1444" w:type="dxa"/>
            <w:tcBorders>
              <w:top w:val="nil"/>
              <w:left w:val="nil"/>
              <w:bottom w:val="nil"/>
              <w:right w:val="nil"/>
            </w:tcBorders>
            <w:vAlign w:val="center"/>
          </w:tcPr>
          <w:p w14:paraId="35E67CC0">
            <w:pPr>
              <w:widowControl/>
              <w:jc w:val="center"/>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3.28 (2.79)</w:t>
            </w:r>
          </w:p>
        </w:tc>
        <w:tc>
          <w:tcPr>
            <w:tcW w:w="1516" w:type="dxa"/>
            <w:tcBorders>
              <w:top w:val="nil"/>
              <w:left w:val="nil"/>
              <w:bottom w:val="nil"/>
              <w:right w:val="nil"/>
            </w:tcBorders>
            <w:vAlign w:val="center"/>
          </w:tcPr>
          <w:p w14:paraId="664C921D">
            <w:pPr>
              <w:widowControl/>
              <w:jc w:val="center"/>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9.69 (8.38)</w:t>
            </w:r>
          </w:p>
        </w:tc>
      </w:tr>
      <w:tr w14:paraId="5B6BCAAE">
        <w:trPr>
          <w:jc w:val="center"/>
        </w:trPr>
        <w:tc>
          <w:tcPr>
            <w:tcW w:w="3318" w:type="dxa"/>
            <w:tcBorders>
              <w:top w:val="nil"/>
              <w:left w:val="nil"/>
              <w:bottom w:val="nil"/>
              <w:right w:val="nil"/>
            </w:tcBorders>
            <w:vAlign w:val="center"/>
          </w:tcPr>
          <w:p w14:paraId="45DA1E9B">
            <w:pPr>
              <w:widowControl/>
              <w:jc w:val="left"/>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Cardiac disorders</w:t>
            </w:r>
          </w:p>
        </w:tc>
        <w:tc>
          <w:tcPr>
            <w:tcW w:w="1193" w:type="dxa"/>
            <w:tcBorders>
              <w:top w:val="nil"/>
              <w:left w:val="nil"/>
              <w:bottom w:val="nil"/>
              <w:right w:val="nil"/>
            </w:tcBorders>
            <w:vAlign w:val="center"/>
          </w:tcPr>
          <w:p w14:paraId="5BD5089B">
            <w:pPr>
              <w:widowControl/>
              <w:jc w:val="center"/>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10007541</w:t>
            </w:r>
          </w:p>
        </w:tc>
        <w:tc>
          <w:tcPr>
            <w:tcW w:w="1030" w:type="dxa"/>
            <w:tcBorders>
              <w:top w:val="nil"/>
              <w:left w:val="nil"/>
              <w:bottom w:val="nil"/>
              <w:right w:val="nil"/>
            </w:tcBorders>
            <w:vAlign w:val="center"/>
          </w:tcPr>
          <w:p w14:paraId="16B81C85">
            <w:pPr>
              <w:widowControl/>
              <w:jc w:val="center"/>
              <w:textAlignment w:val="center"/>
              <w:rPr>
                <w:rFonts w:ascii="Times New Roman" w:hAnsi="Times New Roman" w:eastAsia="DengXian"/>
                <w:color w:val="000000"/>
                <w:kern w:val="0"/>
                <w:sz w:val="24"/>
                <w:szCs w:val="24"/>
              </w:rPr>
            </w:pPr>
            <w:r>
              <w:rPr>
                <w:rFonts w:ascii="Times New Roman" w:hAnsi="Times New Roman" w:eastAsia="DengXian"/>
                <w:color w:val="000000"/>
                <w:kern w:val="0"/>
                <w:sz w:val="24"/>
                <w:szCs w:val="24"/>
              </w:rPr>
              <w:t>177</w:t>
            </w:r>
          </w:p>
        </w:tc>
        <w:tc>
          <w:tcPr>
            <w:tcW w:w="2285" w:type="dxa"/>
            <w:tcBorders>
              <w:top w:val="nil"/>
              <w:left w:val="nil"/>
              <w:bottom w:val="nil"/>
              <w:right w:val="nil"/>
            </w:tcBorders>
            <w:vAlign w:val="center"/>
          </w:tcPr>
          <w:p w14:paraId="302AD79C">
            <w:pPr>
              <w:widowControl/>
              <w:jc w:val="center"/>
              <w:textAlignment w:val="center"/>
              <w:rPr>
                <w:rFonts w:ascii="Times New Roman Regular" w:hAnsi="Times New Roman Regular"/>
                <w:color w:val="000000"/>
                <w:kern w:val="0"/>
                <w:sz w:val="24"/>
                <w:szCs w:val="24"/>
              </w:rPr>
            </w:pPr>
            <w:r>
              <w:rPr>
                <w:rFonts w:ascii="Times New Roman Regular" w:hAnsi="Times New Roman Regular"/>
                <w:color w:val="000000"/>
                <w:kern w:val="0"/>
                <w:sz w:val="24"/>
                <w:szCs w:val="24"/>
              </w:rPr>
              <w:t>5.83 (5.02-6.77)</w:t>
            </w:r>
          </w:p>
        </w:tc>
        <w:tc>
          <w:tcPr>
            <w:tcW w:w="2250" w:type="dxa"/>
            <w:tcBorders>
              <w:top w:val="nil"/>
              <w:left w:val="nil"/>
              <w:bottom w:val="nil"/>
              <w:right w:val="nil"/>
            </w:tcBorders>
            <w:vAlign w:val="center"/>
          </w:tcPr>
          <w:p w14:paraId="769E4579">
            <w:pPr>
              <w:widowControl/>
              <w:jc w:val="center"/>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5.8 (5-6.72)</w:t>
            </w:r>
          </w:p>
        </w:tc>
        <w:tc>
          <w:tcPr>
            <w:tcW w:w="1138" w:type="dxa"/>
            <w:tcBorders>
              <w:top w:val="nil"/>
              <w:left w:val="nil"/>
              <w:bottom w:val="nil"/>
              <w:right w:val="nil"/>
            </w:tcBorders>
            <w:vAlign w:val="center"/>
          </w:tcPr>
          <w:p w14:paraId="30DC2FF0">
            <w:pPr>
              <w:widowControl/>
              <w:jc w:val="left"/>
              <w:textAlignment w:val="center"/>
              <w:rPr>
                <w:rFonts w:ascii="Times New Roman Bold" w:hAnsi="Times New Roman Bold" w:cs="Times New Roman Bold"/>
                <w:b/>
                <w:bCs/>
                <w:kern w:val="0"/>
                <w:sz w:val="24"/>
                <w:szCs w:val="24"/>
              </w:rPr>
            </w:pPr>
            <w:r>
              <w:rPr>
                <w:rFonts w:ascii="Times New Roman" w:hAnsi="Times New Roman" w:eastAsia="DengXian"/>
                <w:color w:val="000000"/>
                <w:kern w:val="0"/>
                <w:sz w:val="24"/>
                <w:szCs w:val="24"/>
              </w:rPr>
              <w:t xml:space="preserve">692.15 </w:t>
            </w:r>
          </w:p>
        </w:tc>
        <w:tc>
          <w:tcPr>
            <w:tcW w:w="1444" w:type="dxa"/>
            <w:tcBorders>
              <w:top w:val="nil"/>
              <w:left w:val="nil"/>
              <w:bottom w:val="nil"/>
              <w:right w:val="nil"/>
            </w:tcBorders>
            <w:vAlign w:val="center"/>
          </w:tcPr>
          <w:p w14:paraId="0A27E322">
            <w:pPr>
              <w:widowControl/>
              <w:jc w:val="center"/>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2.52 (2.02)</w:t>
            </w:r>
          </w:p>
        </w:tc>
        <w:tc>
          <w:tcPr>
            <w:tcW w:w="1516" w:type="dxa"/>
            <w:tcBorders>
              <w:top w:val="nil"/>
              <w:left w:val="nil"/>
              <w:bottom w:val="nil"/>
              <w:right w:val="nil"/>
            </w:tcBorders>
            <w:vAlign w:val="center"/>
          </w:tcPr>
          <w:p w14:paraId="374133C4">
            <w:pPr>
              <w:widowControl/>
              <w:jc w:val="center"/>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5.72 (4.93)</w:t>
            </w:r>
          </w:p>
        </w:tc>
      </w:tr>
      <w:tr w14:paraId="7209C4DE">
        <w:trPr>
          <w:jc w:val="center"/>
        </w:trPr>
        <w:tc>
          <w:tcPr>
            <w:tcW w:w="3318" w:type="dxa"/>
            <w:tcBorders>
              <w:top w:val="nil"/>
              <w:left w:val="nil"/>
              <w:bottom w:val="nil"/>
              <w:right w:val="nil"/>
            </w:tcBorders>
            <w:vAlign w:val="center"/>
          </w:tcPr>
          <w:p w14:paraId="514B654E">
            <w:pPr>
              <w:widowControl/>
              <w:jc w:val="left"/>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Vascular disorders</w:t>
            </w:r>
          </w:p>
        </w:tc>
        <w:tc>
          <w:tcPr>
            <w:tcW w:w="1193" w:type="dxa"/>
            <w:tcBorders>
              <w:top w:val="nil"/>
              <w:left w:val="nil"/>
              <w:bottom w:val="nil"/>
              <w:right w:val="nil"/>
            </w:tcBorders>
            <w:vAlign w:val="center"/>
          </w:tcPr>
          <w:p w14:paraId="547A30FC">
            <w:pPr>
              <w:widowControl/>
              <w:jc w:val="center"/>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10047065</w:t>
            </w:r>
          </w:p>
        </w:tc>
        <w:tc>
          <w:tcPr>
            <w:tcW w:w="1030" w:type="dxa"/>
            <w:tcBorders>
              <w:top w:val="nil"/>
              <w:left w:val="nil"/>
              <w:bottom w:val="nil"/>
              <w:right w:val="nil"/>
            </w:tcBorders>
            <w:vAlign w:val="center"/>
          </w:tcPr>
          <w:p w14:paraId="6EB6109B">
            <w:pPr>
              <w:widowControl/>
              <w:jc w:val="center"/>
              <w:textAlignment w:val="center"/>
              <w:rPr>
                <w:rFonts w:ascii="Times New Roman" w:hAnsi="Times New Roman" w:eastAsia="DengXian"/>
                <w:color w:val="000000"/>
                <w:kern w:val="0"/>
                <w:sz w:val="24"/>
                <w:szCs w:val="24"/>
              </w:rPr>
            </w:pPr>
            <w:r>
              <w:rPr>
                <w:rFonts w:ascii="Times New Roman" w:hAnsi="Times New Roman" w:eastAsia="DengXian"/>
                <w:color w:val="000000"/>
                <w:kern w:val="0"/>
                <w:sz w:val="24"/>
                <w:szCs w:val="24"/>
              </w:rPr>
              <w:t>138</w:t>
            </w:r>
          </w:p>
        </w:tc>
        <w:tc>
          <w:tcPr>
            <w:tcW w:w="2285" w:type="dxa"/>
            <w:tcBorders>
              <w:top w:val="nil"/>
              <w:left w:val="nil"/>
              <w:bottom w:val="nil"/>
              <w:right w:val="nil"/>
            </w:tcBorders>
            <w:vAlign w:val="center"/>
          </w:tcPr>
          <w:p w14:paraId="59A7FB13">
            <w:pPr>
              <w:widowControl/>
              <w:jc w:val="center"/>
              <w:textAlignment w:val="center"/>
              <w:rPr>
                <w:rFonts w:ascii="Times New Roman Regular" w:hAnsi="Times New Roman Regular"/>
                <w:color w:val="000000"/>
                <w:kern w:val="0"/>
                <w:sz w:val="24"/>
                <w:szCs w:val="24"/>
              </w:rPr>
            </w:pPr>
            <w:r>
              <w:rPr>
                <w:rFonts w:ascii="Times New Roman Regular" w:hAnsi="Times New Roman Regular"/>
                <w:color w:val="000000"/>
                <w:kern w:val="0"/>
                <w:sz w:val="24"/>
                <w:szCs w:val="24"/>
              </w:rPr>
              <w:t>4.71 (3.98-5.57)</w:t>
            </w:r>
          </w:p>
        </w:tc>
        <w:tc>
          <w:tcPr>
            <w:tcW w:w="2250" w:type="dxa"/>
            <w:tcBorders>
              <w:top w:val="nil"/>
              <w:left w:val="nil"/>
              <w:bottom w:val="nil"/>
              <w:right w:val="nil"/>
            </w:tcBorders>
            <w:vAlign w:val="center"/>
          </w:tcPr>
          <w:p w14:paraId="1C57EFFB">
            <w:pPr>
              <w:widowControl/>
              <w:jc w:val="center"/>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4.69 (3.97-5.55)</w:t>
            </w:r>
          </w:p>
        </w:tc>
        <w:tc>
          <w:tcPr>
            <w:tcW w:w="1138" w:type="dxa"/>
            <w:tcBorders>
              <w:top w:val="nil"/>
              <w:left w:val="nil"/>
              <w:bottom w:val="nil"/>
              <w:right w:val="nil"/>
            </w:tcBorders>
            <w:vAlign w:val="center"/>
          </w:tcPr>
          <w:p w14:paraId="749E2F1F">
            <w:pPr>
              <w:widowControl/>
              <w:jc w:val="left"/>
              <w:textAlignment w:val="center"/>
              <w:rPr>
                <w:rFonts w:ascii="Times New Roman Bold" w:hAnsi="Times New Roman Bold" w:cs="Times New Roman Bold"/>
                <w:b/>
                <w:bCs/>
                <w:kern w:val="0"/>
                <w:sz w:val="24"/>
                <w:szCs w:val="24"/>
              </w:rPr>
            </w:pPr>
            <w:r>
              <w:rPr>
                <w:rFonts w:ascii="Times New Roman" w:hAnsi="Times New Roman" w:eastAsia="DengXian"/>
                <w:color w:val="000000"/>
                <w:kern w:val="0"/>
                <w:sz w:val="24"/>
                <w:szCs w:val="24"/>
              </w:rPr>
              <w:t xml:space="preserve">395.76 </w:t>
            </w:r>
          </w:p>
        </w:tc>
        <w:tc>
          <w:tcPr>
            <w:tcW w:w="1444" w:type="dxa"/>
            <w:tcBorders>
              <w:top w:val="nil"/>
              <w:left w:val="nil"/>
              <w:bottom w:val="nil"/>
              <w:right w:val="nil"/>
            </w:tcBorders>
            <w:vAlign w:val="center"/>
          </w:tcPr>
          <w:p w14:paraId="7382A847">
            <w:pPr>
              <w:widowControl/>
              <w:jc w:val="center"/>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2.21 (1.66)</w:t>
            </w:r>
          </w:p>
        </w:tc>
        <w:tc>
          <w:tcPr>
            <w:tcW w:w="1516" w:type="dxa"/>
            <w:tcBorders>
              <w:top w:val="nil"/>
              <w:left w:val="nil"/>
              <w:bottom w:val="nil"/>
              <w:right w:val="nil"/>
            </w:tcBorders>
            <w:vAlign w:val="center"/>
          </w:tcPr>
          <w:p w14:paraId="767E9AE9">
            <w:pPr>
              <w:widowControl/>
              <w:jc w:val="center"/>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4.64 (3.92)</w:t>
            </w:r>
          </w:p>
        </w:tc>
      </w:tr>
      <w:tr w14:paraId="34E79D40">
        <w:trPr>
          <w:jc w:val="center"/>
        </w:trPr>
        <w:tc>
          <w:tcPr>
            <w:tcW w:w="3318" w:type="dxa"/>
            <w:tcBorders>
              <w:top w:val="nil"/>
              <w:left w:val="nil"/>
              <w:bottom w:val="nil"/>
              <w:right w:val="nil"/>
            </w:tcBorders>
            <w:vAlign w:val="center"/>
          </w:tcPr>
          <w:p w14:paraId="7BD26BF6">
            <w:pPr>
              <w:widowControl/>
              <w:jc w:val="left"/>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Immune system disorders#</w:t>
            </w:r>
          </w:p>
        </w:tc>
        <w:tc>
          <w:tcPr>
            <w:tcW w:w="1193" w:type="dxa"/>
            <w:tcBorders>
              <w:top w:val="nil"/>
              <w:left w:val="nil"/>
              <w:bottom w:val="nil"/>
              <w:right w:val="nil"/>
            </w:tcBorders>
            <w:vAlign w:val="center"/>
          </w:tcPr>
          <w:p w14:paraId="5284AB2F">
            <w:pPr>
              <w:widowControl/>
              <w:jc w:val="center"/>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10021428</w:t>
            </w:r>
          </w:p>
        </w:tc>
        <w:tc>
          <w:tcPr>
            <w:tcW w:w="1030" w:type="dxa"/>
            <w:tcBorders>
              <w:top w:val="nil"/>
              <w:left w:val="nil"/>
              <w:bottom w:val="nil"/>
              <w:right w:val="nil"/>
            </w:tcBorders>
            <w:vAlign w:val="center"/>
          </w:tcPr>
          <w:p w14:paraId="46A81CCA">
            <w:pPr>
              <w:widowControl/>
              <w:jc w:val="center"/>
              <w:textAlignment w:val="center"/>
              <w:rPr>
                <w:rFonts w:ascii="Times New Roman" w:hAnsi="Times New Roman" w:eastAsia="DengXian"/>
                <w:color w:val="000000"/>
                <w:kern w:val="0"/>
                <w:sz w:val="24"/>
                <w:szCs w:val="24"/>
              </w:rPr>
            </w:pPr>
            <w:r>
              <w:rPr>
                <w:rFonts w:ascii="Times New Roman" w:hAnsi="Times New Roman" w:eastAsia="DengXian"/>
                <w:color w:val="000000"/>
                <w:kern w:val="0"/>
                <w:sz w:val="24"/>
                <w:szCs w:val="24"/>
              </w:rPr>
              <w:t>128</w:t>
            </w:r>
          </w:p>
        </w:tc>
        <w:tc>
          <w:tcPr>
            <w:tcW w:w="2285" w:type="dxa"/>
            <w:tcBorders>
              <w:top w:val="nil"/>
              <w:left w:val="nil"/>
              <w:bottom w:val="nil"/>
              <w:right w:val="nil"/>
            </w:tcBorders>
            <w:vAlign w:val="center"/>
          </w:tcPr>
          <w:p w14:paraId="3A654EBE">
            <w:pPr>
              <w:widowControl/>
              <w:jc w:val="center"/>
              <w:textAlignment w:val="center"/>
              <w:rPr>
                <w:rFonts w:ascii="Times New Roman Regular" w:hAnsi="Times New Roman Regular"/>
                <w:color w:val="000000"/>
                <w:kern w:val="0"/>
                <w:sz w:val="24"/>
                <w:szCs w:val="24"/>
              </w:rPr>
            </w:pPr>
            <w:r>
              <w:rPr>
                <w:rFonts w:ascii="Times New Roman Regular" w:hAnsi="Times New Roman Regular"/>
                <w:color w:val="000000"/>
                <w:kern w:val="0"/>
                <w:sz w:val="24"/>
                <w:szCs w:val="24"/>
              </w:rPr>
              <w:t>2.7 (2.26-3.21)</w:t>
            </w:r>
          </w:p>
        </w:tc>
        <w:tc>
          <w:tcPr>
            <w:tcW w:w="2250" w:type="dxa"/>
            <w:tcBorders>
              <w:top w:val="nil"/>
              <w:left w:val="nil"/>
              <w:bottom w:val="nil"/>
              <w:right w:val="nil"/>
            </w:tcBorders>
            <w:vAlign w:val="center"/>
          </w:tcPr>
          <w:p w14:paraId="5B8AB54D">
            <w:pPr>
              <w:widowControl/>
              <w:jc w:val="center"/>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2.69 (2.26-3.2)</w:t>
            </w:r>
          </w:p>
        </w:tc>
        <w:tc>
          <w:tcPr>
            <w:tcW w:w="1138" w:type="dxa"/>
            <w:tcBorders>
              <w:top w:val="nil"/>
              <w:left w:val="nil"/>
              <w:bottom w:val="nil"/>
              <w:right w:val="nil"/>
            </w:tcBorders>
            <w:vAlign w:val="center"/>
          </w:tcPr>
          <w:p w14:paraId="735A227C">
            <w:pPr>
              <w:widowControl/>
              <w:jc w:val="left"/>
              <w:textAlignment w:val="center"/>
              <w:rPr>
                <w:rFonts w:ascii="Times New Roman Bold" w:hAnsi="Times New Roman Bold" w:cs="Times New Roman Bold"/>
                <w:b/>
                <w:bCs/>
                <w:kern w:val="0"/>
                <w:sz w:val="24"/>
                <w:szCs w:val="24"/>
              </w:rPr>
            </w:pPr>
            <w:r>
              <w:rPr>
                <w:rFonts w:ascii="Times New Roman" w:hAnsi="Times New Roman" w:eastAsia="DengXian"/>
                <w:color w:val="000000"/>
                <w:kern w:val="0"/>
                <w:sz w:val="24"/>
                <w:szCs w:val="24"/>
              </w:rPr>
              <w:t xml:space="preserve">134.77 </w:t>
            </w:r>
          </w:p>
        </w:tc>
        <w:tc>
          <w:tcPr>
            <w:tcW w:w="1444" w:type="dxa"/>
            <w:tcBorders>
              <w:top w:val="nil"/>
              <w:left w:val="nil"/>
              <w:bottom w:val="nil"/>
              <w:right w:val="nil"/>
            </w:tcBorders>
            <w:vAlign w:val="center"/>
          </w:tcPr>
          <w:p w14:paraId="63E9F53E">
            <w:pPr>
              <w:widowControl/>
              <w:jc w:val="center"/>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1.42 (0.84)</w:t>
            </w:r>
          </w:p>
        </w:tc>
        <w:tc>
          <w:tcPr>
            <w:tcW w:w="1516" w:type="dxa"/>
            <w:tcBorders>
              <w:top w:val="nil"/>
              <w:left w:val="nil"/>
              <w:bottom w:val="nil"/>
              <w:right w:val="nil"/>
            </w:tcBorders>
            <w:vAlign w:val="center"/>
          </w:tcPr>
          <w:p w14:paraId="217231A7">
            <w:pPr>
              <w:widowControl/>
              <w:jc w:val="center"/>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2.67 (2.25)</w:t>
            </w:r>
          </w:p>
        </w:tc>
      </w:tr>
      <w:tr w14:paraId="7D6F2CE4">
        <w:trPr>
          <w:jc w:val="center"/>
        </w:trPr>
        <w:tc>
          <w:tcPr>
            <w:tcW w:w="3318" w:type="dxa"/>
            <w:tcBorders>
              <w:top w:val="nil"/>
              <w:left w:val="nil"/>
              <w:bottom w:val="nil"/>
              <w:right w:val="nil"/>
            </w:tcBorders>
            <w:vAlign w:val="center"/>
          </w:tcPr>
          <w:p w14:paraId="348861F7">
            <w:pPr>
              <w:widowControl/>
              <w:jc w:val="left"/>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Hepatobiliary disorders#</w:t>
            </w:r>
          </w:p>
        </w:tc>
        <w:tc>
          <w:tcPr>
            <w:tcW w:w="1193" w:type="dxa"/>
            <w:tcBorders>
              <w:top w:val="nil"/>
              <w:left w:val="nil"/>
              <w:bottom w:val="nil"/>
              <w:right w:val="nil"/>
            </w:tcBorders>
            <w:vAlign w:val="center"/>
          </w:tcPr>
          <w:p w14:paraId="6F22FFAB">
            <w:pPr>
              <w:widowControl/>
              <w:jc w:val="center"/>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10019805</w:t>
            </w:r>
          </w:p>
        </w:tc>
        <w:tc>
          <w:tcPr>
            <w:tcW w:w="1030" w:type="dxa"/>
            <w:tcBorders>
              <w:top w:val="nil"/>
              <w:left w:val="nil"/>
              <w:bottom w:val="nil"/>
              <w:right w:val="nil"/>
            </w:tcBorders>
            <w:vAlign w:val="center"/>
          </w:tcPr>
          <w:p w14:paraId="2CB73324">
            <w:pPr>
              <w:widowControl/>
              <w:jc w:val="center"/>
              <w:textAlignment w:val="center"/>
              <w:rPr>
                <w:rFonts w:ascii="Times New Roman" w:hAnsi="Times New Roman" w:eastAsia="DengXian"/>
                <w:color w:val="000000"/>
                <w:kern w:val="0"/>
                <w:sz w:val="24"/>
                <w:szCs w:val="24"/>
              </w:rPr>
            </w:pPr>
            <w:r>
              <w:rPr>
                <w:rFonts w:ascii="Times New Roman" w:hAnsi="Times New Roman" w:eastAsia="DengXian"/>
                <w:color w:val="000000"/>
                <w:kern w:val="0"/>
                <w:sz w:val="24"/>
                <w:szCs w:val="24"/>
              </w:rPr>
              <w:t>100</w:t>
            </w:r>
          </w:p>
        </w:tc>
        <w:tc>
          <w:tcPr>
            <w:tcW w:w="2285" w:type="dxa"/>
            <w:tcBorders>
              <w:top w:val="nil"/>
              <w:left w:val="nil"/>
              <w:bottom w:val="nil"/>
              <w:right w:val="nil"/>
            </w:tcBorders>
            <w:vAlign w:val="center"/>
          </w:tcPr>
          <w:p w14:paraId="0B31B4D6">
            <w:pPr>
              <w:widowControl/>
              <w:jc w:val="center"/>
              <w:textAlignment w:val="center"/>
              <w:rPr>
                <w:rFonts w:ascii="Times New Roman Regular" w:hAnsi="Times New Roman Regular"/>
                <w:color w:val="000000"/>
                <w:kern w:val="0"/>
                <w:sz w:val="24"/>
                <w:szCs w:val="24"/>
              </w:rPr>
            </w:pPr>
            <w:r>
              <w:rPr>
                <w:rFonts w:ascii="Times New Roman Regular" w:hAnsi="Times New Roman Regular"/>
                <w:color w:val="000000"/>
                <w:kern w:val="0"/>
                <w:sz w:val="24"/>
                <w:szCs w:val="24"/>
              </w:rPr>
              <w:t>4.83 (3.96-5.89)</w:t>
            </w:r>
          </w:p>
        </w:tc>
        <w:tc>
          <w:tcPr>
            <w:tcW w:w="2250" w:type="dxa"/>
            <w:tcBorders>
              <w:top w:val="nil"/>
              <w:left w:val="nil"/>
              <w:bottom w:val="nil"/>
              <w:right w:val="nil"/>
            </w:tcBorders>
            <w:vAlign w:val="center"/>
          </w:tcPr>
          <w:p w14:paraId="0CF33788">
            <w:pPr>
              <w:widowControl/>
              <w:jc w:val="center"/>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4.82 (3.95-5.86)</w:t>
            </w:r>
          </w:p>
        </w:tc>
        <w:tc>
          <w:tcPr>
            <w:tcW w:w="1138" w:type="dxa"/>
            <w:tcBorders>
              <w:top w:val="nil"/>
              <w:left w:val="nil"/>
              <w:bottom w:val="nil"/>
              <w:right w:val="nil"/>
            </w:tcBorders>
            <w:vAlign w:val="center"/>
          </w:tcPr>
          <w:p w14:paraId="69A62250">
            <w:pPr>
              <w:widowControl/>
              <w:jc w:val="left"/>
              <w:textAlignment w:val="center"/>
              <w:rPr>
                <w:rFonts w:ascii="Times New Roman Bold" w:hAnsi="Times New Roman Bold" w:cs="Times New Roman Bold"/>
                <w:b/>
                <w:bCs/>
                <w:kern w:val="0"/>
                <w:sz w:val="24"/>
                <w:szCs w:val="24"/>
              </w:rPr>
            </w:pPr>
            <w:r>
              <w:rPr>
                <w:rFonts w:ascii="Times New Roman" w:hAnsi="Times New Roman" w:eastAsia="DengXian"/>
                <w:color w:val="000000"/>
                <w:kern w:val="0"/>
                <w:sz w:val="24"/>
                <w:szCs w:val="24"/>
              </w:rPr>
              <w:t xml:space="preserve">298.46 </w:t>
            </w:r>
          </w:p>
        </w:tc>
        <w:tc>
          <w:tcPr>
            <w:tcW w:w="1444" w:type="dxa"/>
            <w:tcBorders>
              <w:top w:val="nil"/>
              <w:left w:val="nil"/>
              <w:bottom w:val="nil"/>
              <w:right w:val="nil"/>
            </w:tcBorders>
            <w:vAlign w:val="center"/>
          </w:tcPr>
          <w:p w14:paraId="257F42F6">
            <w:pPr>
              <w:widowControl/>
              <w:jc w:val="center"/>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2.25 (1.6)</w:t>
            </w:r>
          </w:p>
        </w:tc>
        <w:tc>
          <w:tcPr>
            <w:tcW w:w="1516" w:type="dxa"/>
            <w:tcBorders>
              <w:top w:val="nil"/>
              <w:left w:val="nil"/>
              <w:bottom w:val="nil"/>
              <w:right w:val="nil"/>
            </w:tcBorders>
            <w:vAlign w:val="center"/>
          </w:tcPr>
          <w:p w14:paraId="1E38A06D">
            <w:pPr>
              <w:widowControl/>
              <w:jc w:val="center"/>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4.76 (3.91)</w:t>
            </w:r>
          </w:p>
        </w:tc>
      </w:tr>
      <w:tr w14:paraId="2AB31420">
        <w:trPr>
          <w:jc w:val="center"/>
        </w:trPr>
        <w:tc>
          <w:tcPr>
            <w:tcW w:w="3318" w:type="dxa"/>
            <w:tcBorders>
              <w:top w:val="nil"/>
              <w:left w:val="nil"/>
              <w:bottom w:val="nil"/>
              <w:right w:val="nil"/>
            </w:tcBorders>
            <w:vAlign w:val="center"/>
          </w:tcPr>
          <w:p w14:paraId="2D1A28FB">
            <w:pPr>
              <w:widowControl/>
              <w:jc w:val="left"/>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Investigations#</w:t>
            </w:r>
          </w:p>
        </w:tc>
        <w:tc>
          <w:tcPr>
            <w:tcW w:w="1193" w:type="dxa"/>
            <w:tcBorders>
              <w:top w:val="nil"/>
              <w:left w:val="nil"/>
              <w:bottom w:val="nil"/>
              <w:right w:val="nil"/>
            </w:tcBorders>
            <w:vAlign w:val="center"/>
          </w:tcPr>
          <w:p w14:paraId="5FA2EC4A">
            <w:pPr>
              <w:widowControl/>
              <w:jc w:val="center"/>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10022891</w:t>
            </w:r>
          </w:p>
        </w:tc>
        <w:tc>
          <w:tcPr>
            <w:tcW w:w="1030" w:type="dxa"/>
            <w:tcBorders>
              <w:top w:val="nil"/>
              <w:left w:val="nil"/>
              <w:bottom w:val="nil"/>
              <w:right w:val="nil"/>
            </w:tcBorders>
            <w:vAlign w:val="center"/>
          </w:tcPr>
          <w:p w14:paraId="084FBB30">
            <w:pPr>
              <w:widowControl/>
              <w:jc w:val="center"/>
              <w:textAlignment w:val="center"/>
              <w:rPr>
                <w:rFonts w:ascii="Times New Roman" w:hAnsi="Times New Roman" w:eastAsia="DengXian"/>
                <w:color w:val="000000"/>
                <w:kern w:val="0"/>
                <w:sz w:val="24"/>
                <w:szCs w:val="24"/>
              </w:rPr>
            </w:pPr>
            <w:r>
              <w:rPr>
                <w:rFonts w:ascii="Times New Roman" w:hAnsi="Times New Roman" w:eastAsia="DengXian"/>
                <w:color w:val="000000"/>
                <w:kern w:val="0"/>
                <w:sz w:val="24"/>
                <w:szCs w:val="24"/>
              </w:rPr>
              <w:t>42</w:t>
            </w:r>
          </w:p>
        </w:tc>
        <w:tc>
          <w:tcPr>
            <w:tcW w:w="2285" w:type="dxa"/>
            <w:tcBorders>
              <w:top w:val="nil"/>
              <w:left w:val="nil"/>
              <w:bottom w:val="nil"/>
              <w:right w:val="nil"/>
            </w:tcBorders>
            <w:vAlign w:val="center"/>
          </w:tcPr>
          <w:p w14:paraId="75CCCDEB">
            <w:pPr>
              <w:widowControl/>
              <w:jc w:val="center"/>
              <w:textAlignment w:val="center"/>
              <w:rPr>
                <w:rFonts w:ascii="Times New Roman Regular" w:hAnsi="Times New Roman Regular"/>
                <w:color w:val="000000"/>
                <w:kern w:val="0"/>
                <w:sz w:val="24"/>
                <w:szCs w:val="24"/>
              </w:rPr>
            </w:pPr>
            <w:r>
              <w:rPr>
                <w:rFonts w:ascii="Times New Roman Regular" w:hAnsi="Times New Roman Regular"/>
                <w:color w:val="000000"/>
                <w:kern w:val="0"/>
                <w:sz w:val="24"/>
                <w:szCs w:val="24"/>
              </w:rPr>
              <w:t>5.48 (4.04-7.44)</w:t>
            </w:r>
          </w:p>
        </w:tc>
        <w:tc>
          <w:tcPr>
            <w:tcW w:w="2250" w:type="dxa"/>
            <w:tcBorders>
              <w:top w:val="nil"/>
              <w:left w:val="nil"/>
              <w:bottom w:val="nil"/>
              <w:right w:val="nil"/>
            </w:tcBorders>
            <w:vAlign w:val="center"/>
          </w:tcPr>
          <w:p w14:paraId="4D049406">
            <w:pPr>
              <w:widowControl/>
              <w:jc w:val="center"/>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5.48 (4.04-7.42)</w:t>
            </w:r>
          </w:p>
        </w:tc>
        <w:tc>
          <w:tcPr>
            <w:tcW w:w="1138" w:type="dxa"/>
            <w:tcBorders>
              <w:top w:val="nil"/>
              <w:left w:val="nil"/>
              <w:bottom w:val="nil"/>
              <w:right w:val="nil"/>
            </w:tcBorders>
            <w:vAlign w:val="center"/>
          </w:tcPr>
          <w:p w14:paraId="43AF9A59">
            <w:pPr>
              <w:widowControl/>
              <w:jc w:val="left"/>
              <w:textAlignment w:val="center"/>
              <w:rPr>
                <w:rFonts w:ascii="Times New Roman Bold" w:hAnsi="Times New Roman Bold" w:cs="Times New Roman Bold"/>
                <w:b/>
                <w:bCs/>
                <w:kern w:val="0"/>
                <w:sz w:val="24"/>
                <w:szCs w:val="24"/>
              </w:rPr>
            </w:pPr>
            <w:r>
              <w:rPr>
                <w:rFonts w:ascii="Times New Roman" w:hAnsi="Times New Roman" w:eastAsia="DengXian"/>
                <w:color w:val="000000"/>
                <w:kern w:val="0"/>
                <w:sz w:val="24"/>
                <w:szCs w:val="24"/>
              </w:rPr>
              <w:t xml:space="preserve">151.28 </w:t>
            </w:r>
          </w:p>
        </w:tc>
        <w:tc>
          <w:tcPr>
            <w:tcW w:w="1444" w:type="dxa"/>
            <w:tcBorders>
              <w:top w:val="nil"/>
              <w:left w:val="nil"/>
              <w:bottom w:val="nil"/>
              <w:right w:val="nil"/>
            </w:tcBorders>
            <w:vAlign w:val="center"/>
          </w:tcPr>
          <w:p w14:paraId="42C11EF3">
            <w:pPr>
              <w:widowControl/>
              <w:jc w:val="center"/>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2.43 (1.45)</w:t>
            </w:r>
          </w:p>
        </w:tc>
        <w:tc>
          <w:tcPr>
            <w:tcW w:w="1516" w:type="dxa"/>
            <w:tcBorders>
              <w:top w:val="nil"/>
              <w:left w:val="nil"/>
              <w:bottom w:val="nil"/>
              <w:right w:val="nil"/>
            </w:tcBorders>
            <w:vAlign w:val="center"/>
          </w:tcPr>
          <w:p w14:paraId="05CD2939">
            <w:pPr>
              <w:widowControl/>
              <w:jc w:val="center"/>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5.41 (3.98)</w:t>
            </w:r>
          </w:p>
        </w:tc>
      </w:tr>
      <w:tr w14:paraId="1A2EBEF1">
        <w:trPr>
          <w:jc w:val="center"/>
        </w:trPr>
        <w:tc>
          <w:tcPr>
            <w:tcW w:w="3318" w:type="dxa"/>
            <w:tcBorders>
              <w:top w:val="nil"/>
              <w:left w:val="nil"/>
              <w:bottom w:val="nil"/>
              <w:right w:val="nil"/>
            </w:tcBorders>
            <w:vAlign w:val="center"/>
          </w:tcPr>
          <w:p w14:paraId="3317CDBE">
            <w:pPr>
              <w:widowControl/>
              <w:jc w:val="left"/>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Surgical and medical procedures</w:t>
            </w:r>
          </w:p>
        </w:tc>
        <w:tc>
          <w:tcPr>
            <w:tcW w:w="1193" w:type="dxa"/>
            <w:tcBorders>
              <w:top w:val="nil"/>
              <w:left w:val="nil"/>
              <w:bottom w:val="nil"/>
              <w:right w:val="nil"/>
            </w:tcBorders>
            <w:vAlign w:val="center"/>
          </w:tcPr>
          <w:p w14:paraId="333CBBC1">
            <w:pPr>
              <w:widowControl/>
              <w:jc w:val="center"/>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10042613</w:t>
            </w:r>
          </w:p>
        </w:tc>
        <w:tc>
          <w:tcPr>
            <w:tcW w:w="1030" w:type="dxa"/>
            <w:tcBorders>
              <w:top w:val="nil"/>
              <w:left w:val="nil"/>
              <w:bottom w:val="nil"/>
              <w:right w:val="nil"/>
            </w:tcBorders>
            <w:vAlign w:val="center"/>
          </w:tcPr>
          <w:p w14:paraId="3BFBAAC3">
            <w:pPr>
              <w:widowControl/>
              <w:jc w:val="center"/>
              <w:textAlignment w:val="center"/>
              <w:rPr>
                <w:rFonts w:ascii="Times New Roman" w:hAnsi="Times New Roman" w:eastAsia="DengXian"/>
                <w:color w:val="000000"/>
                <w:kern w:val="0"/>
                <w:sz w:val="24"/>
                <w:szCs w:val="24"/>
              </w:rPr>
            </w:pPr>
            <w:r>
              <w:rPr>
                <w:rFonts w:ascii="Times New Roman" w:hAnsi="Times New Roman" w:eastAsia="DengXian"/>
                <w:color w:val="000000"/>
                <w:kern w:val="0"/>
                <w:sz w:val="24"/>
                <w:szCs w:val="24"/>
              </w:rPr>
              <w:t>38</w:t>
            </w:r>
          </w:p>
        </w:tc>
        <w:tc>
          <w:tcPr>
            <w:tcW w:w="2285" w:type="dxa"/>
            <w:tcBorders>
              <w:top w:val="nil"/>
              <w:left w:val="nil"/>
              <w:bottom w:val="nil"/>
              <w:right w:val="nil"/>
            </w:tcBorders>
            <w:vAlign w:val="center"/>
          </w:tcPr>
          <w:p w14:paraId="40D2D7E7">
            <w:pPr>
              <w:widowControl/>
              <w:jc w:val="center"/>
              <w:textAlignment w:val="center"/>
              <w:rPr>
                <w:rFonts w:ascii="Times New Roman Regular" w:hAnsi="Times New Roman Regular"/>
                <w:color w:val="000000"/>
                <w:kern w:val="0"/>
                <w:sz w:val="24"/>
                <w:szCs w:val="24"/>
              </w:rPr>
            </w:pPr>
            <w:r>
              <w:rPr>
                <w:rFonts w:ascii="Times New Roman Regular" w:hAnsi="Times New Roman Regular"/>
                <w:color w:val="000000"/>
                <w:kern w:val="0"/>
                <w:sz w:val="24"/>
                <w:szCs w:val="24"/>
              </w:rPr>
              <w:t>3.97 (2.88-5.46)</w:t>
            </w:r>
          </w:p>
        </w:tc>
        <w:tc>
          <w:tcPr>
            <w:tcW w:w="2250" w:type="dxa"/>
            <w:tcBorders>
              <w:top w:val="nil"/>
              <w:left w:val="nil"/>
              <w:bottom w:val="nil"/>
              <w:right w:val="nil"/>
            </w:tcBorders>
            <w:vAlign w:val="center"/>
          </w:tcPr>
          <w:p w14:paraId="73B18352">
            <w:pPr>
              <w:widowControl/>
              <w:jc w:val="center"/>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3.96 (2.88-5.46)</w:t>
            </w:r>
          </w:p>
        </w:tc>
        <w:tc>
          <w:tcPr>
            <w:tcW w:w="1138" w:type="dxa"/>
            <w:tcBorders>
              <w:top w:val="nil"/>
              <w:left w:val="nil"/>
              <w:bottom w:val="nil"/>
              <w:right w:val="nil"/>
            </w:tcBorders>
            <w:vAlign w:val="center"/>
          </w:tcPr>
          <w:p w14:paraId="7C07C8C9">
            <w:pPr>
              <w:widowControl/>
              <w:jc w:val="left"/>
              <w:textAlignment w:val="center"/>
              <w:rPr>
                <w:rFonts w:ascii="Times New Roman Bold" w:hAnsi="Times New Roman Bold" w:cs="Times New Roman Bold"/>
                <w:b/>
                <w:bCs/>
                <w:kern w:val="0"/>
                <w:sz w:val="24"/>
                <w:szCs w:val="24"/>
              </w:rPr>
            </w:pPr>
            <w:r>
              <w:rPr>
                <w:rFonts w:ascii="Times New Roman" w:hAnsi="Times New Roman" w:eastAsia="DengXian"/>
                <w:color w:val="000000"/>
                <w:kern w:val="0"/>
                <w:sz w:val="24"/>
                <w:szCs w:val="24"/>
              </w:rPr>
              <w:t xml:space="preserve">83.30 </w:t>
            </w:r>
          </w:p>
        </w:tc>
        <w:tc>
          <w:tcPr>
            <w:tcW w:w="1444" w:type="dxa"/>
            <w:tcBorders>
              <w:top w:val="nil"/>
              <w:left w:val="nil"/>
              <w:bottom w:val="nil"/>
              <w:right w:val="nil"/>
            </w:tcBorders>
            <w:vAlign w:val="center"/>
          </w:tcPr>
          <w:p w14:paraId="51AECBB7">
            <w:pPr>
              <w:widowControl/>
              <w:jc w:val="center"/>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1.97 (0.94)</w:t>
            </w:r>
          </w:p>
        </w:tc>
        <w:tc>
          <w:tcPr>
            <w:tcW w:w="1516" w:type="dxa"/>
            <w:tcBorders>
              <w:top w:val="nil"/>
              <w:left w:val="nil"/>
              <w:bottom w:val="nil"/>
              <w:right w:val="nil"/>
            </w:tcBorders>
            <w:vAlign w:val="center"/>
          </w:tcPr>
          <w:p w14:paraId="39CA1FB2">
            <w:pPr>
              <w:widowControl/>
              <w:jc w:val="center"/>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3.93 (2.85)</w:t>
            </w:r>
          </w:p>
        </w:tc>
      </w:tr>
      <w:tr w14:paraId="00D99182">
        <w:trPr>
          <w:jc w:val="center"/>
        </w:trPr>
        <w:tc>
          <w:tcPr>
            <w:tcW w:w="3318" w:type="dxa"/>
            <w:tcBorders>
              <w:top w:val="nil"/>
              <w:left w:val="nil"/>
              <w:bottom w:val="nil"/>
              <w:right w:val="nil"/>
            </w:tcBorders>
            <w:vAlign w:val="center"/>
          </w:tcPr>
          <w:p w14:paraId="0E5FDDC6">
            <w:pPr>
              <w:widowControl/>
              <w:jc w:val="left"/>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Congenital, familial and genetic disorders#</w:t>
            </w:r>
          </w:p>
        </w:tc>
        <w:tc>
          <w:tcPr>
            <w:tcW w:w="1193" w:type="dxa"/>
            <w:tcBorders>
              <w:top w:val="nil"/>
              <w:left w:val="nil"/>
              <w:bottom w:val="nil"/>
              <w:right w:val="nil"/>
            </w:tcBorders>
            <w:vAlign w:val="center"/>
          </w:tcPr>
          <w:p w14:paraId="0ECBAD94">
            <w:pPr>
              <w:widowControl/>
              <w:jc w:val="center"/>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10010331</w:t>
            </w:r>
          </w:p>
        </w:tc>
        <w:tc>
          <w:tcPr>
            <w:tcW w:w="1030" w:type="dxa"/>
            <w:tcBorders>
              <w:top w:val="nil"/>
              <w:left w:val="nil"/>
              <w:bottom w:val="nil"/>
              <w:right w:val="nil"/>
            </w:tcBorders>
            <w:vAlign w:val="center"/>
          </w:tcPr>
          <w:p w14:paraId="36CEC688">
            <w:pPr>
              <w:widowControl/>
              <w:jc w:val="center"/>
              <w:textAlignment w:val="center"/>
              <w:rPr>
                <w:rFonts w:ascii="Times New Roman" w:hAnsi="Times New Roman" w:eastAsia="DengXian"/>
                <w:color w:val="000000"/>
                <w:kern w:val="0"/>
                <w:sz w:val="24"/>
                <w:szCs w:val="24"/>
              </w:rPr>
            </w:pPr>
            <w:r>
              <w:rPr>
                <w:rFonts w:ascii="Times New Roman" w:hAnsi="Times New Roman" w:eastAsia="DengXian"/>
                <w:color w:val="000000"/>
                <w:kern w:val="0"/>
                <w:sz w:val="24"/>
                <w:szCs w:val="24"/>
              </w:rPr>
              <w:t>33</w:t>
            </w:r>
          </w:p>
        </w:tc>
        <w:tc>
          <w:tcPr>
            <w:tcW w:w="2285" w:type="dxa"/>
            <w:tcBorders>
              <w:top w:val="nil"/>
              <w:left w:val="nil"/>
              <w:bottom w:val="nil"/>
              <w:right w:val="nil"/>
            </w:tcBorders>
            <w:vAlign w:val="center"/>
          </w:tcPr>
          <w:p w14:paraId="35A318FD">
            <w:pPr>
              <w:widowControl/>
              <w:jc w:val="center"/>
              <w:textAlignment w:val="center"/>
              <w:rPr>
                <w:rFonts w:ascii="Times New Roman Regular" w:hAnsi="Times New Roman Regular"/>
                <w:color w:val="000000"/>
                <w:kern w:val="0"/>
                <w:sz w:val="24"/>
                <w:szCs w:val="24"/>
              </w:rPr>
            </w:pPr>
            <w:r>
              <w:rPr>
                <w:rFonts w:ascii="Times New Roman Regular" w:hAnsi="Times New Roman Regular"/>
                <w:color w:val="000000"/>
                <w:kern w:val="0"/>
                <w:sz w:val="24"/>
                <w:szCs w:val="24"/>
              </w:rPr>
              <w:t>82.3 (56.3-120.31)</w:t>
            </w:r>
          </w:p>
        </w:tc>
        <w:tc>
          <w:tcPr>
            <w:tcW w:w="2250" w:type="dxa"/>
            <w:tcBorders>
              <w:top w:val="nil"/>
              <w:left w:val="nil"/>
              <w:bottom w:val="nil"/>
              <w:right w:val="nil"/>
            </w:tcBorders>
            <w:vAlign w:val="center"/>
          </w:tcPr>
          <w:p w14:paraId="4D02639F">
            <w:pPr>
              <w:widowControl/>
              <w:jc w:val="center"/>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82.2 (56.25-120.12)</w:t>
            </w:r>
          </w:p>
        </w:tc>
        <w:tc>
          <w:tcPr>
            <w:tcW w:w="1138" w:type="dxa"/>
            <w:tcBorders>
              <w:top w:val="nil"/>
              <w:left w:val="nil"/>
              <w:bottom w:val="nil"/>
              <w:right w:val="nil"/>
            </w:tcBorders>
            <w:vAlign w:val="center"/>
          </w:tcPr>
          <w:p w14:paraId="6FB4B010">
            <w:pPr>
              <w:widowControl/>
              <w:jc w:val="left"/>
              <w:textAlignment w:val="center"/>
              <w:rPr>
                <w:rFonts w:ascii="Times New Roman Bold" w:hAnsi="Times New Roman Bold" w:cs="Times New Roman Bold"/>
                <w:b/>
                <w:bCs/>
                <w:kern w:val="0"/>
                <w:sz w:val="24"/>
                <w:szCs w:val="24"/>
              </w:rPr>
            </w:pPr>
            <w:r>
              <w:rPr>
                <w:rFonts w:ascii="Times New Roman" w:hAnsi="Times New Roman" w:eastAsia="DengXian"/>
                <w:color w:val="000000"/>
                <w:kern w:val="0"/>
                <w:sz w:val="24"/>
                <w:szCs w:val="24"/>
              </w:rPr>
              <w:t xml:space="preserve">2139.15 </w:t>
            </w:r>
          </w:p>
        </w:tc>
        <w:tc>
          <w:tcPr>
            <w:tcW w:w="1444" w:type="dxa"/>
            <w:tcBorders>
              <w:top w:val="nil"/>
              <w:left w:val="nil"/>
              <w:bottom w:val="nil"/>
              <w:right w:val="nil"/>
            </w:tcBorders>
            <w:vAlign w:val="center"/>
          </w:tcPr>
          <w:p w14:paraId="01D345D6">
            <w:pPr>
              <w:widowControl/>
              <w:jc w:val="center"/>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6.06 (4.85)</w:t>
            </w:r>
          </w:p>
        </w:tc>
        <w:tc>
          <w:tcPr>
            <w:tcW w:w="1516" w:type="dxa"/>
            <w:tcBorders>
              <w:top w:val="nil"/>
              <w:left w:val="nil"/>
              <w:bottom w:val="nil"/>
              <w:right w:val="nil"/>
            </w:tcBorders>
            <w:vAlign w:val="center"/>
          </w:tcPr>
          <w:p w14:paraId="212AC523">
            <w:pPr>
              <w:widowControl/>
              <w:jc w:val="center"/>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66.62 (45.57)</w:t>
            </w:r>
          </w:p>
        </w:tc>
      </w:tr>
      <w:tr w14:paraId="36DF75F9">
        <w:trPr>
          <w:jc w:val="center"/>
        </w:trPr>
        <w:tc>
          <w:tcPr>
            <w:tcW w:w="3318" w:type="dxa"/>
            <w:tcBorders>
              <w:top w:val="nil"/>
              <w:left w:val="nil"/>
              <w:bottom w:val="nil"/>
              <w:right w:val="nil"/>
            </w:tcBorders>
            <w:vAlign w:val="center"/>
          </w:tcPr>
          <w:p w14:paraId="35AFDEC6">
            <w:pPr>
              <w:widowControl/>
              <w:jc w:val="left"/>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Blood and lymphatic system disorders#</w:t>
            </w:r>
          </w:p>
        </w:tc>
        <w:tc>
          <w:tcPr>
            <w:tcW w:w="1193" w:type="dxa"/>
            <w:tcBorders>
              <w:top w:val="nil"/>
              <w:left w:val="nil"/>
              <w:bottom w:val="nil"/>
              <w:right w:val="nil"/>
            </w:tcBorders>
            <w:vAlign w:val="center"/>
          </w:tcPr>
          <w:p w14:paraId="370234C3">
            <w:pPr>
              <w:widowControl/>
              <w:jc w:val="center"/>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10005329</w:t>
            </w:r>
          </w:p>
        </w:tc>
        <w:tc>
          <w:tcPr>
            <w:tcW w:w="1030" w:type="dxa"/>
            <w:tcBorders>
              <w:top w:val="nil"/>
              <w:left w:val="nil"/>
              <w:bottom w:val="nil"/>
              <w:right w:val="nil"/>
            </w:tcBorders>
            <w:vAlign w:val="center"/>
          </w:tcPr>
          <w:p w14:paraId="6AAEF22E">
            <w:pPr>
              <w:widowControl/>
              <w:jc w:val="center"/>
              <w:textAlignment w:val="center"/>
              <w:rPr>
                <w:rFonts w:ascii="Times New Roman" w:hAnsi="Times New Roman" w:eastAsia="DengXian"/>
                <w:color w:val="000000"/>
                <w:kern w:val="0"/>
                <w:sz w:val="24"/>
                <w:szCs w:val="24"/>
              </w:rPr>
            </w:pPr>
            <w:r>
              <w:rPr>
                <w:rFonts w:ascii="Times New Roman" w:hAnsi="Times New Roman" w:eastAsia="DengXian"/>
                <w:color w:val="000000"/>
                <w:kern w:val="0"/>
                <w:sz w:val="24"/>
                <w:szCs w:val="24"/>
              </w:rPr>
              <w:t>28</w:t>
            </w:r>
          </w:p>
        </w:tc>
        <w:tc>
          <w:tcPr>
            <w:tcW w:w="2285" w:type="dxa"/>
            <w:tcBorders>
              <w:top w:val="nil"/>
              <w:left w:val="nil"/>
              <w:bottom w:val="nil"/>
              <w:right w:val="nil"/>
            </w:tcBorders>
            <w:vAlign w:val="center"/>
          </w:tcPr>
          <w:p w14:paraId="548DCAA4">
            <w:pPr>
              <w:widowControl/>
              <w:jc w:val="center"/>
              <w:textAlignment w:val="center"/>
              <w:rPr>
                <w:rFonts w:ascii="Times New Roman Regular" w:hAnsi="Times New Roman Regular"/>
                <w:color w:val="000000"/>
                <w:kern w:val="0"/>
                <w:sz w:val="24"/>
                <w:szCs w:val="24"/>
              </w:rPr>
            </w:pPr>
            <w:r>
              <w:rPr>
                <w:rFonts w:ascii="Times New Roman Regular" w:hAnsi="Times New Roman Regular"/>
                <w:color w:val="000000"/>
                <w:kern w:val="0"/>
                <w:sz w:val="24"/>
                <w:szCs w:val="24"/>
              </w:rPr>
              <w:t>3.77 (2.6-5.48)</w:t>
            </w:r>
          </w:p>
        </w:tc>
        <w:tc>
          <w:tcPr>
            <w:tcW w:w="2250" w:type="dxa"/>
            <w:tcBorders>
              <w:top w:val="nil"/>
              <w:left w:val="nil"/>
              <w:bottom w:val="nil"/>
              <w:right w:val="nil"/>
            </w:tcBorders>
            <w:vAlign w:val="center"/>
          </w:tcPr>
          <w:p w14:paraId="5EA3E00D">
            <w:pPr>
              <w:widowControl/>
              <w:jc w:val="center"/>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3.77 (2.6-5.47)</w:t>
            </w:r>
          </w:p>
        </w:tc>
        <w:tc>
          <w:tcPr>
            <w:tcW w:w="1138" w:type="dxa"/>
            <w:tcBorders>
              <w:top w:val="nil"/>
              <w:left w:val="nil"/>
              <w:bottom w:val="nil"/>
              <w:right w:val="nil"/>
            </w:tcBorders>
            <w:vAlign w:val="center"/>
          </w:tcPr>
          <w:p w14:paraId="4FD730D5">
            <w:pPr>
              <w:widowControl/>
              <w:jc w:val="left"/>
              <w:textAlignment w:val="center"/>
              <w:rPr>
                <w:rFonts w:ascii="Times New Roman Bold" w:hAnsi="Times New Roman Bold" w:cs="Times New Roman Bold"/>
                <w:b/>
                <w:bCs/>
                <w:kern w:val="0"/>
                <w:sz w:val="24"/>
                <w:szCs w:val="24"/>
              </w:rPr>
            </w:pPr>
            <w:r>
              <w:rPr>
                <w:rFonts w:ascii="Times New Roman" w:hAnsi="Times New Roman" w:eastAsia="DengXian"/>
                <w:color w:val="000000"/>
                <w:kern w:val="0"/>
                <w:sz w:val="24"/>
                <w:szCs w:val="24"/>
              </w:rPr>
              <w:t xml:space="preserve">56.37 </w:t>
            </w:r>
          </w:p>
        </w:tc>
        <w:tc>
          <w:tcPr>
            <w:tcW w:w="1444" w:type="dxa"/>
            <w:tcBorders>
              <w:top w:val="nil"/>
              <w:left w:val="nil"/>
              <w:bottom w:val="nil"/>
              <w:right w:val="nil"/>
            </w:tcBorders>
            <w:vAlign w:val="center"/>
          </w:tcPr>
          <w:p w14:paraId="0D793A9E">
            <w:pPr>
              <w:widowControl/>
              <w:jc w:val="center"/>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1.9 (0.71)</w:t>
            </w:r>
          </w:p>
        </w:tc>
        <w:tc>
          <w:tcPr>
            <w:tcW w:w="1516" w:type="dxa"/>
            <w:tcBorders>
              <w:top w:val="nil"/>
              <w:left w:val="nil"/>
              <w:bottom w:val="nil"/>
              <w:right w:val="nil"/>
            </w:tcBorders>
            <w:vAlign w:val="center"/>
          </w:tcPr>
          <w:p w14:paraId="7ECA6DB3">
            <w:pPr>
              <w:widowControl/>
              <w:jc w:val="center"/>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3.74 (2.58)</w:t>
            </w:r>
          </w:p>
        </w:tc>
      </w:tr>
      <w:tr w14:paraId="653CF115">
        <w:trPr>
          <w:jc w:val="center"/>
        </w:trPr>
        <w:tc>
          <w:tcPr>
            <w:tcW w:w="3318" w:type="dxa"/>
            <w:tcBorders>
              <w:top w:val="nil"/>
              <w:left w:val="nil"/>
              <w:bottom w:val="nil"/>
              <w:right w:val="nil"/>
            </w:tcBorders>
            <w:vAlign w:val="center"/>
          </w:tcPr>
          <w:p w14:paraId="35BD945E">
            <w:pPr>
              <w:widowControl/>
              <w:jc w:val="left"/>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Endocrine disorders#</w:t>
            </w:r>
          </w:p>
        </w:tc>
        <w:tc>
          <w:tcPr>
            <w:tcW w:w="1193" w:type="dxa"/>
            <w:tcBorders>
              <w:top w:val="nil"/>
              <w:left w:val="nil"/>
              <w:bottom w:val="nil"/>
              <w:right w:val="nil"/>
            </w:tcBorders>
            <w:vAlign w:val="center"/>
          </w:tcPr>
          <w:p w14:paraId="44F1BBDB">
            <w:pPr>
              <w:widowControl/>
              <w:jc w:val="center"/>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10014698</w:t>
            </w:r>
          </w:p>
        </w:tc>
        <w:tc>
          <w:tcPr>
            <w:tcW w:w="1030" w:type="dxa"/>
            <w:tcBorders>
              <w:top w:val="nil"/>
              <w:left w:val="nil"/>
              <w:bottom w:val="nil"/>
              <w:right w:val="nil"/>
            </w:tcBorders>
            <w:vAlign w:val="center"/>
          </w:tcPr>
          <w:p w14:paraId="08C09502">
            <w:pPr>
              <w:widowControl/>
              <w:jc w:val="center"/>
              <w:textAlignment w:val="center"/>
              <w:rPr>
                <w:rFonts w:ascii="Times New Roman" w:hAnsi="Times New Roman" w:eastAsia="DengXian"/>
                <w:color w:val="000000"/>
                <w:kern w:val="0"/>
                <w:sz w:val="24"/>
                <w:szCs w:val="24"/>
              </w:rPr>
            </w:pPr>
            <w:r>
              <w:rPr>
                <w:rFonts w:ascii="Times New Roman" w:hAnsi="Times New Roman" w:eastAsia="DengXian"/>
                <w:color w:val="000000"/>
                <w:kern w:val="0"/>
                <w:sz w:val="24"/>
                <w:szCs w:val="24"/>
              </w:rPr>
              <w:t>25</w:t>
            </w:r>
          </w:p>
        </w:tc>
        <w:tc>
          <w:tcPr>
            <w:tcW w:w="2285" w:type="dxa"/>
            <w:tcBorders>
              <w:top w:val="nil"/>
              <w:left w:val="nil"/>
              <w:bottom w:val="nil"/>
              <w:right w:val="nil"/>
            </w:tcBorders>
            <w:vAlign w:val="center"/>
          </w:tcPr>
          <w:p w14:paraId="5F211609">
            <w:pPr>
              <w:widowControl/>
              <w:jc w:val="center"/>
              <w:textAlignment w:val="center"/>
              <w:rPr>
                <w:rFonts w:ascii="Times New Roman Regular" w:hAnsi="Times New Roman Regular"/>
                <w:color w:val="000000"/>
                <w:kern w:val="0"/>
                <w:sz w:val="24"/>
                <w:szCs w:val="24"/>
              </w:rPr>
            </w:pPr>
            <w:r>
              <w:rPr>
                <w:rFonts w:ascii="Times New Roman Regular" w:hAnsi="Times New Roman Regular"/>
                <w:color w:val="000000"/>
                <w:kern w:val="0"/>
                <w:sz w:val="24"/>
                <w:szCs w:val="24"/>
              </w:rPr>
              <w:t>10.1 (6.78-15.03)</w:t>
            </w:r>
          </w:p>
        </w:tc>
        <w:tc>
          <w:tcPr>
            <w:tcW w:w="2250" w:type="dxa"/>
            <w:tcBorders>
              <w:top w:val="nil"/>
              <w:left w:val="nil"/>
              <w:bottom w:val="nil"/>
              <w:right w:val="nil"/>
            </w:tcBorders>
            <w:vAlign w:val="center"/>
          </w:tcPr>
          <w:p w14:paraId="13574CD6">
            <w:pPr>
              <w:widowControl/>
              <w:jc w:val="center"/>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10.09 (6.78-15.01)</w:t>
            </w:r>
          </w:p>
        </w:tc>
        <w:tc>
          <w:tcPr>
            <w:tcW w:w="1138" w:type="dxa"/>
            <w:tcBorders>
              <w:top w:val="nil"/>
              <w:left w:val="nil"/>
              <w:bottom w:val="nil"/>
              <w:right w:val="nil"/>
            </w:tcBorders>
            <w:vAlign w:val="center"/>
          </w:tcPr>
          <w:p w14:paraId="172B60FF">
            <w:pPr>
              <w:widowControl/>
              <w:jc w:val="left"/>
              <w:textAlignment w:val="center"/>
              <w:rPr>
                <w:rFonts w:ascii="Times New Roman Bold" w:hAnsi="Times New Roman Bold" w:cs="Times New Roman Bold"/>
                <w:b/>
                <w:bCs/>
                <w:kern w:val="0"/>
                <w:sz w:val="24"/>
                <w:szCs w:val="24"/>
              </w:rPr>
            </w:pPr>
            <w:r>
              <w:rPr>
                <w:rFonts w:ascii="Times New Roman" w:hAnsi="Times New Roman" w:eastAsia="DengXian"/>
                <w:color w:val="000000"/>
                <w:kern w:val="0"/>
                <w:sz w:val="24"/>
                <w:szCs w:val="24"/>
              </w:rPr>
              <w:t xml:space="preserve">198.91 </w:t>
            </w:r>
          </w:p>
        </w:tc>
        <w:tc>
          <w:tcPr>
            <w:tcW w:w="1444" w:type="dxa"/>
            <w:tcBorders>
              <w:top w:val="nil"/>
              <w:left w:val="nil"/>
              <w:bottom w:val="nil"/>
              <w:right w:val="nil"/>
            </w:tcBorders>
            <w:vAlign w:val="center"/>
          </w:tcPr>
          <w:p w14:paraId="7634D367">
            <w:pPr>
              <w:widowControl/>
              <w:jc w:val="center"/>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3.3 (2.03)</w:t>
            </w:r>
          </w:p>
        </w:tc>
        <w:tc>
          <w:tcPr>
            <w:tcW w:w="1516" w:type="dxa"/>
            <w:tcBorders>
              <w:top w:val="nil"/>
              <w:left w:val="nil"/>
              <w:bottom w:val="nil"/>
              <w:right w:val="nil"/>
            </w:tcBorders>
            <w:vAlign w:val="center"/>
          </w:tcPr>
          <w:p w14:paraId="639EFC2B">
            <w:pPr>
              <w:widowControl/>
              <w:jc w:val="center"/>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9.83 (6.6)</w:t>
            </w:r>
          </w:p>
        </w:tc>
      </w:tr>
      <w:tr w14:paraId="400B840A">
        <w:trPr>
          <w:jc w:val="center"/>
        </w:trPr>
        <w:tc>
          <w:tcPr>
            <w:tcW w:w="3318" w:type="dxa"/>
            <w:tcBorders>
              <w:top w:val="nil"/>
              <w:left w:val="nil"/>
              <w:bottom w:val="nil"/>
              <w:right w:val="nil"/>
            </w:tcBorders>
            <w:vAlign w:val="center"/>
          </w:tcPr>
          <w:p w14:paraId="6DF9AF4F">
            <w:pPr>
              <w:widowControl/>
              <w:jc w:val="left"/>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Nervous system disorders#</w:t>
            </w:r>
          </w:p>
        </w:tc>
        <w:tc>
          <w:tcPr>
            <w:tcW w:w="1193" w:type="dxa"/>
            <w:tcBorders>
              <w:top w:val="nil"/>
              <w:left w:val="nil"/>
              <w:bottom w:val="nil"/>
              <w:right w:val="nil"/>
            </w:tcBorders>
            <w:vAlign w:val="center"/>
          </w:tcPr>
          <w:p w14:paraId="1EC74D22">
            <w:pPr>
              <w:widowControl/>
              <w:jc w:val="center"/>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10029205</w:t>
            </w:r>
          </w:p>
        </w:tc>
        <w:tc>
          <w:tcPr>
            <w:tcW w:w="1030" w:type="dxa"/>
            <w:tcBorders>
              <w:top w:val="nil"/>
              <w:left w:val="nil"/>
              <w:bottom w:val="nil"/>
              <w:right w:val="nil"/>
            </w:tcBorders>
            <w:vAlign w:val="center"/>
          </w:tcPr>
          <w:p w14:paraId="5EE6C653">
            <w:pPr>
              <w:widowControl/>
              <w:jc w:val="center"/>
              <w:textAlignment w:val="center"/>
              <w:rPr>
                <w:rFonts w:ascii="Times New Roman" w:hAnsi="Times New Roman" w:eastAsia="DengXian"/>
                <w:color w:val="000000"/>
                <w:kern w:val="0"/>
                <w:sz w:val="24"/>
                <w:szCs w:val="24"/>
              </w:rPr>
            </w:pPr>
            <w:r>
              <w:rPr>
                <w:rFonts w:ascii="Times New Roman" w:hAnsi="Times New Roman" w:eastAsia="DengXian"/>
                <w:color w:val="000000"/>
                <w:kern w:val="0"/>
                <w:sz w:val="24"/>
                <w:szCs w:val="24"/>
              </w:rPr>
              <w:t>24</w:t>
            </w:r>
          </w:p>
        </w:tc>
        <w:tc>
          <w:tcPr>
            <w:tcW w:w="2285" w:type="dxa"/>
            <w:tcBorders>
              <w:top w:val="nil"/>
              <w:left w:val="nil"/>
              <w:bottom w:val="nil"/>
              <w:right w:val="nil"/>
            </w:tcBorders>
            <w:vAlign w:val="center"/>
          </w:tcPr>
          <w:p w14:paraId="5653481A">
            <w:pPr>
              <w:widowControl/>
              <w:jc w:val="center"/>
              <w:textAlignment w:val="center"/>
              <w:rPr>
                <w:rFonts w:ascii="Times New Roman Regular" w:hAnsi="Times New Roman Regular"/>
                <w:color w:val="000000"/>
                <w:kern w:val="0"/>
                <w:sz w:val="24"/>
                <w:szCs w:val="24"/>
              </w:rPr>
            </w:pPr>
            <w:r>
              <w:rPr>
                <w:rFonts w:ascii="Times New Roman Regular" w:hAnsi="Times New Roman Regular"/>
                <w:color w:val="000000"/>
                <w:kern w:val="0"/>
                <w:sz w:val="24"/>
                <w:szCs w:val="24"/>
              </w:rPr>
              <w:t>11.49 (7.65-17.25)</w:t>
            </w:r>
          </w:p>
        </w:tc>
        <w:tc>
          <w:tcPr>
            <w:tcW w:w="2250" w:type="dxa"/>
            <w:tcBorders>
              <w:top w:val="nil"/>
              <w:left w:val="nil"/>
              <w:bottom w:val="nil"/>
              <w:right w:val="nil"/>
            </w:tcBorders>
            <w:vAlign w:val="center"/>
          </w:tcPr>
          <w:p w14:paraId="5401E124">
            <w:pPr>
              <w:widowControl/>
              <w:jc w:val="center"/>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11.48 (7.64-17.23)</w:t>
            </w:r>
          </w:p>
        </w:tc>
        <w:tc>
          <w:tcPr>
            <w:tcW w:w="1138" w:type="dxa"/>
            <w:tcBorders>
              <w:top w:val="nil"/>
              <w:left w:val="nil"/>
              <w:bottom w:val="nil"/>
              <w:right w:val="nil"/>
            </w:tcBorders>
            <w:vAlign w:val="center"/>
          </w:tcPr>
          <w:p w14:paraId="6726F7CB">
            <w:pPr>
              <w:widowControl/>
              <w:jc w:val="left"/>
              <w:textAlignment w:val="center"/>
              <w:rPr>
                <w:rFonts w:ascii="Times New Roman Bold" w:hAnsi="Times New Roman Bold" w:cs="Times New Roman Bold"/>
                <w:b/>
                <w:bCs/>
                <w:kern w:val="0"/>
                <w:sz w:val="24"/>
                <w:szCs w:val="24"/>
              </w:rPr>
            </w:pPr>
            <w:r>
              <w:rPr>
                <w:rFonts w:ascii="Times New Roman" w:hAnsi="Times New Roman" w:eastAsia="DengXian"/>
                <w:color w:val="000000"/>
                <w:kern w:val="0"/>
                <w:sz w:val="24"/>
                <w:szCs w:val="24"/>
              </w:rPr>
              <w:t xml:space="preserve">222.20 </w:t>
            </w:r>
          </w:p>
        </w:tc>
        <w:tc>
          <w:tcPr>
            <w:tcW w:w="1444" w:type="dxa"/>
            <w:tcBorders>
              <w:top w:val="nil"/>
              <w:left w:val="nil"/>
              <w:bottom w:val="nil"/>
              <w:right w:val="nil"/>
            </w:tcBorders>
            <w:vAlign w:val="center"/>
          </w:tcPr>
          <w:p w14:paraId="5CFD1F28">
            <w:pPr>
              <w:widowControl/>
              <w:jc w:val="center"/>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3.48 (2.18)</w:t>
            </w:r>
          </w:p>
        </w:tc>
        <w:tc>
          <w:tcPr>
            <w:tcW w:w="1516" w:type="dxa"/>
            <w:tcBorders>
              <w:top w:val="nil"/>
              <w:left w:val="nil"/>
              <w:bottom w:val="nil"/>
              <w:right w:val="nil"/>
            </w:tcBorders>
            <w:vAlign w:val="center"/>
          </w:tcPr>
          <w:p w14:paraId="75A11765">
            <w:pPr>
              <w:widowControl/>
              <w:jc w:val="center"/>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11.14 (7.42)</w:t>
            </w:r>
          </w:p>
        </w:tc>
      </w:tr>
      <w:tr w14:paraId="2CD62A46">
        <w:trPr>
          <w:jc w:val="center"/>
        </w:trPr>
        <w:tc>
          <w:tcPr>
            <w:tcW w:w="3318" w:type="dxa"/>
            <w:tcBorders>
              <w:top w:val="nil"/>
              <w:left w:val="nil"/>
              <w:bottom w:val="nil"/>
              <w:right w:val="nil"/>
            </w:tcBorders>
            <w:vAlign w:val="center"/>
          </w:tcPr>
          <w:p w14:paraId="14D54156">
            <w:pPr>
              <w:widowControl/>
              <w:jc w:val="left"/>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Reproductive system and breast disorders</w:t>
            </w:r>
          </w:p>
        </w:tc>
        <w:tc>
          <w:tcPr>
            <w:tcW w:w="1193" w:type="dxa"/>
            <w:tcBorders>
              <w:top w:val="nil"/>
              <w:left w:val="nil"/>
              <w:bottom w:val="nil"/>
              <w:right w:val="nil"/>
            </w:tcBorders>
            <w:vAlign w:val="center"/>
          </w:tcPr>
          <w:p w14:paraId="54384194">
            <w:pPr>
              <w:widowControl/>
              <w:jc w:val="center"/>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10038604</w:t>
            </w:r>
          </w:p>
        </w:tc>
        <w:tc>
          <w:tcPr>
            <w:tcW w:w="1030" w:type="dxa"/>
            <w:tcBorders>
              <w:top w:val="nil"/>
              <w:left w:val="nil"/>
              <w:bottom w:val="nil"/>
              <w:right w:val="nil"/>
            </w:tcBorders>
            <w:vAlign w:val="center"/>
          </w:tcPr>
          <w:p w14:paraId="0D38B398">
            <w:pPr>
              <w:widowControl/>
              <w:jc w:val="center"/>
              <w:textAlignment w:val="center"/>
              <w:rPr>
                <w:rFonts w:ascii="Times New Roman" w:hAnsi="Times New Roman" w:eastAsia="DengXian"/>
                <w:color w:val="000000"/>
                <w:kern w:val="0"/>
                <w:sz w:val="24"/>
                <w:szCs w:val="24"/>
              </w:rPr>
            </w:pPr>
            <w:r>
              <w:rPr>
                <w:rFonts w:ascii="Times New Roman" w:hAnsi="Times New Roman" w:eastAsia="DengXian"/>
                <w:color w:val="000000"/>
                <w:kern w:val="0"/>
                <w:sz w:val="24"/>
                <w:szCs w:val="24"/>
              </w:rPr>
              <w:t>20</w:t>
            </w:r>
          </w:p>
        </w:tc>
        <w:tc>
          <w:tcPr>
            <w:tcW w:w="2285" w:type="dxa"/>
            <w:tcBorders>
              <w:top w:val="nil"/>
              <w:left w:val="nil"/>
              <w:bottom w:val="nil"/>
              <w:right w:val="nil"/>
            </w:tcBorders>
            <w:vAlign w:val="center"/>
          </w:tcPr>
          <w:p w14:paraId="534E861D">
            <w:pPr>
              <w:widowControl/>
              <w:jc w:val="center"/>
              <w:textAlignment w:val="center"/>
              <w:rPr>
                <w:rFonts w:ascii="Times New Roman Regular" w:hAnsi="Times New Roman Regular"/>
                <w:color w:val="000000"/>
                <w:kern w:val="0"/>
                <w:sz w:val="24"/>
                <w:szCs w:val="24"/>
              </w:rPr>
            </w:pPr>
            <w:r>
              <w:rPr>
                <w:rFonts w:ascii="Times New Roman Regular" w:hAnsi="Times New Roman Regular"/>
                <w:color w:val="000000"/>
                <w:kern w:val="0"/>
                <w:sz w:val="24"/>
                <w:szCs w:val="24"/>
              </w:rPr>
              <w:t>24.23 (15.4-38.13)</w:t>
            </w:r>
          </w:p>
        </w:tc>
        <w:tc>
          <w:tcPr>
            <w:tcW w:w="2250" w:type="dxa"/>
            <w:tcBorders>
              <w:top w:val="nil"/>
              <w:left w:val="nil"/>
              <w:bottom w:val="nil"/>
              <w:right w:val="nil"/>
            </w:tcBorders>
            <w:vAlign w:val="center"/>
          </w:tcPr>
          <w:p w14:paraId="067BF3B6">
            <w:pPr>
              <w:widowControl/>
              <w:jc w:val="center"/>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24.21 (15.39-38.09)</w:t>
            </w:r>
          </w:p>
        </w:tc>
        <w:tc>
          <w:tcPr>
            <w:tcW w:w="1138" w:type="dxa"/>
            <w:tcBorders>
              <w:top w:val="nil"/>
              <w:left w:val="nil"/>
              <w:bottom w:val="nil"/>
              <w:right w:val="nil"/>
            </w:tcBorders>
            <w:vAlign w:val="center"/>
          </w:tcPr>
          <w:p w14:paraId="5C41332E">
            <w:pPr>
              <w:widowControl/>
              <w:jc w:val="left"/>
              <w:textAlignment w:val="center"/>
              <w:rPr>
                <w:rFonts w:ascii="Times New Roman Bold" w:hAnsi="Times New Roman Bold" w:cs="Times New Roman Bold"/>
                <w:b/>
                <w:bCs/>
                <w:kern w:val="0"/>
                <w:sz w:val="24"/>
                <w:szCs w:val="24"/>
              </w:rPr>
            </w:pPr>
            <w:r>
              <w:rPr>
                <w:rFonts w:ascii="Times New Roman" w:hAnsi="Times New Roman" w:eastAsia="DengXian"/>
                <w:color w:val="000000"/>
                <w:kern w:val="0"/>
                <w:sz w:val="24"/>
                <w:szCs w:val="24"/>
              </w:rPr>
              <w:t xml:space="preserve">415.99 </w:t>
            </w:r>
          </w:p>
        </w:tc>
        <w:tc>
          <w:tcPr>
            <w:tcW w:w="1444" w:type="dxa"/>
            <w:tcBorders>
              <w:top w:val="nil"/>
              <w:left w:val="nil"/>
              <w:bottom w:val="nil"/>
              <w:right w:val="nil"/>
            </w:tcBorders>
            <w:vAlign w:val="center"/>
          </w:tcPr>
          <w:p w14:paraId="4C55500A">
            <w:pPr>
              <w:widowControl/>
              <w:jc w:val="center"/>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4.5 (3.07)</w:t>
            </w:r>
          </w:p>
        </w:tc>
        <w:tc>
          <w:tcPr>
            <w:tcW w:w="1516" w:type="dxa"/>
            <w:tcBorders>
              <w:top w:val="nil"/>
              <w:left w:val="nil"/>
              <w:bottom w:val="nil"/>
              <w:right w:val="nil"/>
            </w:tcBorders>
            <w:vAlign w:val="center"/>
          </w:tcPr>
          <w:p w14:paraId="7FEC71C9">
            <w:pPr>
              <w:widowControl/>
              <w:jc w:val="center"/>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22.69 (14.42)</w:t>
            </w:r>
          </w:p>
        </w:tc>
      </w:tr>
      <w:tr w14:paraId="7330E5F1">
        <w:trPr>
          <w:jc w:val="center"/>
        </w:trPr>
        <w:tc>
          <w:tcPr>
            <w:tcW w:w="3318" w:type="dxa"/>
            <w:tcBorders>
              <w:top w:val="nil"/>
              <w:left w:val="nil"/>
              <w:bottom w:val="single" w:color="auto" w:sz="8" w:space="0"/>
              <w:right w:val="nil"/>
            </w:tcBorders>
            <w:vAlign w:val="center"/>
          </w:tcPr>
          <w:p w14:paraId="2F209BD1">
            <w:pPr>
              <w:widowControl/>
              <w:jc w:val="left"/>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Injury, poisoning and procedural complications</w:t>
            </w:r>
          </w:p>
        </w:tc>
        <w:tc>
          <w:tcPr>
            <w:tcW w:w="1193" w:type="dxa"/>
            <w:tcBorders>
              <w:top w:val="nil"/>
              <w:left w:val="nil"/>
              <w:bottom w:val="single" w:color="auto" w:sz="8" w:space="0"/>
              <w:right w:val="nil"/>
            </w:tcBorders>
            <w:vAlign w:val="center"/>
          </w:tcPr>
          <w:p w14:paraId="11067958">
            <w:pPr>
              <w:widowControl/>
              <w:jc w:val="center"/>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10022117</w:t>
            </w:r>
          </w:p>
        </w:tc>
        <w:tc>
          <w:tcPr>
            <w:tcW w:w="1030" w:type="dxa"/>
            <w:tcBorders>
              <w:top w:val="nil"/>
              <w:left w:val="nil"/>
              <w:bottom w:val="single" w:color="auto" w:sz="8" w:space="0"/>
              <w:right w:val="nil"/>
            </w:tcBorders>
            <w:vAlign w:val="center"/>
          </w:tcPr>
          <w:p w14:paraId="4069E555">
            <w:pPr>
              <w:widowControl/>
              <w:jc w:val="center"/>
              <w:textAlignment w:val="center"/>
              <w:rPr>
                <w:rFonts w:ascii="Times New Roman" w:hAnsi="Times New Roman" w:eastAsia="DengXian"/>
                <w:color w:val="000000"/>
                <w:kern w:val="0"/>
                <w:sz w:val="24"/>
                <w:szCs w:val="24"/>
              </w:rPr>
            </w:pPr>
            <w:r>
              <w:rPr>
                <w:rFonts w:ascii="Times New Roman" w:hAnsi="Times New Roman" w:eastAsia="DengXian"/>
                <w:color w:val="000000"/>
                <w:kern w:val="0"/>
                <w:sz w:val="24"/>
                <w:szCs w:val="24"/>
              </w:rPr>
              <w:t>16</w:t>
            </w:r>
          </w:p>
        </w:tc>
        <w:tc>
          <w:tcPr>
            <w:tcW w:w="2285" w:type="dxa"/>
            <w:tcBorders>
              <w:top w:val="nil"/>
              <w:left w:val="nil"/>
              <w:bottom w:val="single" w:color="auto" w:sz="8" w:space="0"/>
              <w:right w:val="nil"/>
            </w:tcBorders>
            <w:vAlign w:val="center"/>
          </w:tcPr>
          <w:p w14:paraId="398FC8D8">
            <w:pPr>
              <w:widowControl/>
              <w:jc w:val="center"/>
              <w:textAlignment w:val="center"/>
              <w:rPr>
                <w:rFonts w:ascii="Times New Roman Regular" w:hAnsi="Times New Roman Regular"/>
                <w:color w:val="000000"/>
                <w:kern w:val="0"/>
                <w:sz w:val="24"/>
                <w:szCs w:val="24"/>
              </w:rPr>
            </w:pPr>
            <w:r>
              <w:rPr>
                <w:rFonts w:ascii="Times New Roman Regular" w:hAnsi="Times New Roman Regular"/>
                <w:color w:val="000000"/>
                <w:kern w:val="0"/>
                <w:sz w:val="24"/>
                <w:szCs w:val="24"/>
              </w:rPr>
              <w:t>9.18 (5.58-15.08)</w:t>
            </w:r>
          </w:p>
        </w:tc>
        <w:tc>
          <w:tcPr>
            <w:tcW w:w="2250" w:type="dxa"/>
            <w:tcBorders>
              <w:top w:val="nil"/>
              <w:left w:val="nil"/>
              <w:bottom w:val="single" w:color="auto" w:sz="8" w:space="0"/>
              <w:right w:val="nil"/>
            </w:tcBorders>
            <w:vAlign w:val="center"/>
          </w:tcPr>
          <w:p w14:paraId="5C18CD93">
            <w:pPr>
              <w:widowControl/>
              <w:jc w:val="center"/>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9.17 (5.58-15.07)</w:t>
            </w:r>
          </w:p>
        </w:tc>
        <w:tc>
          <w:tcPr>
            <w:tcW w:w="1138" w:type="dxa"/>
            <w:tcBorders>
              <w:top w:val="nil"/>
              <w:left w:val="nil"/>
              <w:bottom w:val="single" w:color="auto" w:sz="8" w:space="0"/>
              <w:right w:val="nil"/>
            </w:tcBorders>
            <w:vAlign w:val="center"/>
          </w:tcPr>
          <w:p w14:paraId="3E9368B4">
            <w:pPr>
              <w:widowControl/>
              <w:jc w:val="left"/>
              <w:textAlignment w:val="center"/>
              <w:rPr>
                <w:rFonts w:ascii="Times New Roman Bold" w:hAnsi="Times New Roman Bold" w:cs="Times New Roman Bold"/>
                <w:b/>
                <w:bCs/>
                <w:kern w:val="0"/>
                <w:sz w:val="24"/>
                <w:szCs w:val="24"/>
              </w:rPr>
            </w:pPr>
            <w:r>
              <w:rPr>
                <w:rFonts w:ascii="Times New Roman" w:hAnsi="Times New Roman" w:eastAsia="DengXian"/>
                <w:color w:val="000000"/>
                <w:kern w:val="0"/>
                <w:sz w:val="24"/>
                <w:szCs w:val="24"/>
              </w:rPr>
              <w:t xml:space="preserve">113.49 </w:t>
            </w:r>
          </w:p>
        </w:tc>
        <w:tc>
          <w:tcPr>
            <w:tcW w:w="1444" w:type="dxa"/>
            <w:tcBorders>
              <w:top w:val="nil"/>
              <w:left w:val="nil"/>
              <w:bottom w:val="single" w:color="auto" w:sz="8" w:space="0"/>
              <w:right w:val="nil"/>
            </w:tcBorders>
            <w:vAlign w:val="center"/>
          </w:tcPr>
          <w:p w14:paraId="3824953C">
            <w:pPr>
              <w:widowControl/>
              <w:jc w:val="center"/>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3.16 (1.61)</w:t>
            </w:r>
          </w:p>
        </w:tc>
        <w:tc>
          <w:tcPr>
            <w:tcW w:w="1516" w:type="dxa"/>
            <w:tcBorders>
              <w:top w:val="nil"/>
              <w:left w:val="nil"/>
              <w:bottom w:val="single" w:color="auto" w:sz="8" w:space="0"/>
              <w:right w:val="nil"/>
            </w:tcBorders>
            <w:vAlign w:val="center"/>
          </w:tcPr>
          <w:p w14:paraId="6E7E0273">
            <w:pPr>
              <w:widowControl/>
              <w:jc w:val="center"/>
              <w:textAlignment w:val="center"/>
              <w:rPr>
                <w:rFonts w:ascii="Times New Roman Bold" w:hAnsi="Times New Roman Bold" w:cs="Times New Roman Bold"/>
                <w:b/>
                <w:bCs/>
                <w:kern w:val="0"/>
                <w:sz w:val="24"/>
                <w:szCs w:val="24"/>
              </w:rPr>
            </w:pPr>
            <w:r>
              <w:rPr>
                <w:rFonts w:ascii="Times New Roman Regular" w:hAnsi="Times New Roman Regular"/>
                <w:color w:val="000000"/>
                <w:kern w:val="0"/>
                <w:sz w:val="24"/>
                <w:szCs w:val="24"/>
              </w:rPr>
              <w:t>8.96 (5.45)</w:t>
            </w:r>
          </w:p>
        </w:tc>
      </w:tr>
    </w:tbl>
    <w:p w14:paraId="35F24B9B">
      <w:pPr>
        <w:jc w:val="left"/>
        <w:rPr>
          <w:rFonts w:ascii="Times New Roman Bold" w:hAnsi="Times New Roman Bold" w:cs="Times New Roman Bold"/>
          <w:b/>
          <w:bCs/>
          <w:sz w:val="24"/>
          <w:szCs w:val="24"/>
        </w:rPr>
      </w:pPr>
      <w:r>
        <w:rPr>
          <w:rFonts w:hint="eastAsia" w:ascii="Times New Roman Bold" w:hAnsi="Times New Roman Bold" w:cs="Times New Roman Bold"/>
          <w:b/>
          <w:bCs/>
          <w:sz w:val="24"/>
          <w:szCs w:val="24"/>
        </w:rPr>
        <w:t xml:space="preserve">  </w:t>
      </w:r>
    </w:p>
    <w:p w14:paraId="2B4B594B">
      <w:pPr>
        <w:jc w:val="left"/>
        <w:rPr>
          <w:rFonts w:ascii="Times New Roman Bold" w:hAnsi="Times New Roman Bold" w:cs="Times New Roman Bold"/>
          <w:b/>
          <w:bCs/>
          <w:sz w:val="24"/>
          <w:szCs w:val="24"/>
        </w:rPr>
      </w:pPr>
      <w:r>
        <w:rPr>
          <w:rFonts w:hint="eastAsia" w:ascii="Times New Roman Bold" w:hAnsi="Times New Roman Bold" w:cs="Times New Roman Bold"/>
          <w:b/>
          <w:bCs/>
          <w:sz w:val="24"/>
          <w:szCs w:val="24"/>
        </w:rPr>
        <w:t xml:space="preserve"> </w:t>
      </w:r>
    </w:p>
    <w:p w14:paraId="04AD5FE0">
      <w:pPr>
        <w:jc w:val="left"/>
        <w:rPr>
          <w:rFonts w:ascii="Times New Roman" w:hAnsi="Times New Roman"/>
          <w:sz w:val="24"/>
          <w:szCs w:val="24"/>
        </w:rPr>
      </w:pPr>
      <w:r>
        <w:rPr>
          <w:rFonts w:ascii="Times New Roman" w:hAnsi="Times New Roman"/>
          <w:sz w:val="24"/>
          <w:szCs w:val="24"/>
        </w:rPr>
        <w:t>Table 4</w:t>
      </w:r>
      <w:r>
        <w:rPr>
          <w:rFonts w:ascii="Times New Roman Regular" w:hAnsi="Times New Roman Regular"/>
          <w:sz w:val="24"/>
          <w:szCs w:val="24"/>
        </w:rPr>
        <w:t xml:space="preserve"> The top 40 si</w:t>
      </w:r>
      <w:r>
        <w:rPr>
          <w:rFonts w:hint="eastAsia" w:ascii="Times New Roman" w:hAnsi="Times New Roman"/>
          <w:sz w:val="24"/>
          <w:szCs w:val="24"/>
        </w:rPr>
        <w:t>gnal</w:t>
      </w:r>
      <w:r>
        <w:rPr>
          <w:rFonts w:ascii="Times New Roman" w:hAnsi="Times New Roman"/>
          <w:sz w:val="24"/>
          <w:szCs w:val="24"/>
        </w:rPr>
        <w:t xml:space="preserve"> strength of AEs of </w:t>
      </w:r>
      <w:r>
        <w:rPr>
          <w:rFonts w:hint="eastAsia" w:ascii="Times New Roman" w:hAnsi="Times New Roman"/>
          <w:sz w:val="24"/>
          <w:szCs w:val="24"/>
        </w:rPr>
        <w:t>erlotinib</w:t>
      </w:r>
      <w:r>
        <w:rPr>
          <w:rFonts w:ascii="Times New Roman" w:hAnsi="Times New Roman"/>
          <w:sz w:val="24"/>
          <w:szCs w:val="24"/>
        </w:rPr>
        <w:t xml:space="preserve"> at preferred terms (PTs) level in FDA Adverse Event Reporting System (FAERS) source.</w:t>
      </w:r>
    </w:p>
    <w:tbl>
      <w:tblPr>
        <w:tblStyle w:val="4"/>
        <w:tblW w:w="0" w:type="auto"/>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314"/>
        <w:gridCol w:w="4034"/>
        <w:gridCol w:w="1166"/>
        <w:gridCol w:w="1913"/>
        <w:gridCol w:w="1982"/>
        <w:gridCol w:w="1322"/>
        <w:gridCol w:w="1443"/>
      </w:tblGrid>
      <w:tr w14:paraId="6DF33480">
        <w:trPr>
          <w:trHeight w:val="414" w:hRule="atLeast"/>
        </w:trPr>
        <w:tc>
          <w:tcPr>
            <w:tcW w:w="2314" w:type="dxa"/>
            <w:tcBorders>
              <w:top w:val="single" w:color="000000" w:sz="8" w:space="0"/>
              <w:left w:val="nil"/>
              <w:bottom w:val="single" w:color="000000" w:sz="8" w:space="0"/>
              <w:right w:val="nil"/>
            </w:tcBorders>
          </w:tcPr>
          <w:p w14:paraId="0A43CEBF">
            <w:pPr>
              <w:jc w:val="left"/>
              <w:rPr>
                <w:rFonts w:ascii="Times New Roman Bold" w:hAnsi="Times New Roman Bold" w:cs="Times New Roman Bold"/>
                <w:b/>
                <w:bCs/>
                <w:kern w:val="0"/>
                <w:sz w:val="24"/>
                <w:szCs w:val="24"/>
              </w:rPr>
            </w:pPr>
            <w:r>
              <w:rPr>
                <w:rFonts w:ascii="Times New Roman Bold" w:hAnsi="Times New Roman Bold" w:cs="Times New Roman Bold"/>
                <w:b/>
                <w:bCs/>
                <w:kern w:val="0"/>
                <w:sz w:val="24"/>
                <w:szCs w:val="24"/>
              </w:rPr>
              <w:t>AEs</w:t>
            </w:r>
          </w:p>
        </w:tc>
        <w:tc>
          <w:tcPr>
            <w:tcW w:w="4034" w:type="dxa"/>
            <w:tcBorders>
              <w:top w:val="single" w:color="000000" w:sz="8" w:space="0"/>
              <w:left w:val="nil"/>
              <w:bottom w:val="single" w:color="000000" w:sz="8" w:space="0"/>
              <w:right w:val="nil"/>
            </w:tcBorders>
          </w:tcPr>
          <w:p w14:paraId="665F3BF8">
            <w:pPr>
              <w:jc w:val="center"/>
              <w:rPr>
                <w:rFonts w:ascii="Times New Roman Bold" w:hAnsi="Times New Roman Bold" w:cs="Times New Roman Bold"/>
                <w:b/>
                <w:bCs/>
                <w:kern w:val="0"/>
                <w:sz w:val="24"/>
                <w:szCs w:val="24"/>
              </w:rPr>
            </w:pPr>
            <w:r>
              <w:rPr>
                <w:rFonts w:ascii="Times New Roman Bold" w:hAnsi="Times New Roman Bold" w:cs="Times New Roman Bold"/>
                <w:b/>
                <w:bCs/>
                <w:kern w:val="0"/>
                <w:sz w:val="24"/>
                <w:szCs w:val="24"/>
              </w:rPr>
              <w:t>SOC</w:t>
            </w:r>
          </w:p>
        </w:tc>
        <w:tc>
          <w:tcPr>
            <w:tcW w:w="1166" w:type="dxa"/>
            <w:tcBorders>
              <w:top w:val="single" w:color="000000" w:sz="8" w:space="0"/>
              <w:left w:val="nil"/>
              <w:bottom w:val="single" w:color="000000" w:sz="8" w:space="0"/>
              <w:right w:val="nil"/>
            </w:tcBorders>
          </w:tcPr>
          <w:p w14:paraId="6E8C76FA">
            <w:pPr>
              <w:jc w:val="center"/>
              <w:rPr>
                <w:rFonts w:ascii="Times New Roman Bold" w:hAnsi="Times New Roman Bold" w:cs="Times New Roman Bold"/>
                <w:b/>
                <w:bCs/>
                <w:kern w:val="0"/>
                <w:sz w:val="24"/>
                <w:szCs w:val="24"/>
              </w:rPr>
            </w:pPr>
            <w:r>
              <w:rPr>
                <w:rFonts w:ascii="Times New Roman Bold" w:hAnsi="Times New Roman Bold" w:cs="Times New Roman Bold"/>
                <w:b/>
                <w:bCs/>
                <w:kern w:val="0"/>
                <w:sz w:val="24"/>
                <w:szCs w:val="24"/>
              </w:rPr>
              <w:t>Case Reports</w:t>
            </w:r>
          </w:p>
        </w:tc>
        <w:tc>
          <w:tcPr>
            <w:tcW w:w="1913" w:type="dxa"/>
            <w:tcBorders>
              <w:top w:val="single" w:color="000000" w:sz="8" w:space="0"/>
              <w:left w:val="nil"/>
              <w:bottom w:val="single" w:color="000000" w:sz="8" w:space="0"/>
              <w:right w:val="nil"/>
            </w:tcBorders>
          </w:tcPr>
          <w:p w14:paraId="1DBD4584">
            <w:pPr>
              <w:jc w:val="center"/>
              <w:rPr>
                <w:rFonts w:ascii="Times New Roman Bold" w:hAnsi="Times New Roman Bold" w:cs="Times New Roman Bold"/>
                <w:b/>
                <w:bCs/>
                <w:kern w:val="0"/>
                <w:sz w:val="24"/>
                <w:szCs w:val="24"/>
              </w:rPr>
            </w:pPr>
            <w:r>
              <w:rPr>
                <w:rFonts w:ascii="Times New Roman Bold" w:hAnsi="Times New Roman Bold" w:cs="Times New Roman Bold"/>
                <w:b/>
                <w:bCs/>
                <w:kern w:val="0"/>
                <w:sz w:val="24"/>
                <w:szCs w:val="24"/>
              </w:rPr>
              <w:t>ROR</w:t>
            </w:r>
          </w:p>
          <w:p w14:paraId="012093A0">
            <w:pPr>
              <w:jc w:val="center"/>
              <w:rPr>
                <w:rFonts w:ascii="Times New Roman Bold" w:hAnsi="Times New Roman Bold" w:cs="Times New Roman Bold"/>
                <w:b/>
                <w:bCs/>
                <w:kern w:val="0"/>
                <w:sz w:val="24"/>
                <w:szCs w:val="24"/>
              </w:rPr>
            </w:pPr>
            <w:r>
              <w:rPr>
                <w:rFonts w:ascii="Times New Roman Bold" w:hAnsi="Times New Roman Bold" w:cs="Times New Roman Bold"/>
                <w:b/>
                <w:bCs/>
                <w:kern w:val="0"/>
                <w:sz w:val="24"/>
                <w:szCs w:val="24"/>
              </w:rPr>
              <w:t>(95% CI)</w:t>
            </w:r>
          </w:p>
        </w:tc>
        <w:tc>
          <w:tcPr>
            <w:tcW w:w="1982" w:type="dxa"/>
            <w:tcBorders>
              <w:top w:val="single" w:color="000000" w:sz="8" w:space="0"/>
              <w:left w:val="nil"/>
              <w:bottom w:val="single" w:color="000000" w:sz="8" w:space="0"/>
              <w:right w:val="nil"/>
            </w:tcBorders>
          </w:tcPr>
          <w:p w14:paraId="59CC1D37">
            <w:pPr>
              <w:jc w:val="center"/>
              <w:rPr>
                <w:rFonts w:ascii="Times New Roman Bold" w:hAnsi="Times New Roman Bold" w:cs="Times New Roman Bold"/>
                <w:b/>
                <w:bCs/>
                <w:kern w:val="0"/>
                <w:sz w:val="24"/>
                <w:szCs w:val="24"/>
              </w:rPr>
            </w:pPr>
            <w:r>
              <w:rPr>
                <w:rFonts w:ascii="Times New Roman Bold" w:hAnsi="Times New Roman Bold" w:cs="Times New Roman Bold"/>
                <w:b/>
                <w:bCs/>
                <w:kern w:val="0"/>
                <w:sz w:val="24"/>
                <w:szCs w:val="24"/>
              </w:rPr>
              <w:t>PRR</w:t>
            </w:r>
          </w:p>
          <w:p w14:paraId="0689BAC0">
            <w:pPr>
              <w:jc w:val="center"/>
              <w:rPr>
                <w:rFonts w:ascii="Times New Roman Bold" w:hAnsi="Times New Roman Bold" w:cs="Times New Roman Bold"/>
                <w:b/>
                <w:bCs/>
                <w:kern w:val="0"/>
                <w:sz w:val="24"/>
                <w:szCs w:val="24"/>
              </w:rPr>
            </w:pPr>
            <w:r>
              <w:rPr>
                <w:rFonts w:ascii="Times New Roman Bold" w:hAnsi="Times New Roman Bold" w:cs="Times New Roman Bold"/>
                <w:b/>
                <w:bCs/>
                <w:kern w:val="0"/>
                <w:sz w:val="24"/>
                <w:szCs w:val="24"/>
              </w:rPr>
              <w:t>(95% CI)</w:t>
            </w:r>
          </w:p>
        </w:tc>
        <w:tc>
          <w:tcPr>
            <w:tcW w:w="1322" w:type="dxa"/>
            <w:tcBorders>
              <w:top w:val="single" w:color="000000" w:sz="8" w:space="0"/>
              <w:left w:val="nil"/>
              <w:bottom w:val="single" w:color="000000" w:sz="8" w:space="0"/>
              <w:right w:val="nil"/>
            </w:tcBorders>
          </w:tcPr>
          <w:p w14:paraId="6CCE08AD">
            <w:pPr>
              <w:jc w:val="center"/>
              <w:rPr>
                <w:rFonts w:ascii="Times New Roman Bold" w:hAnsi="Times New Roman Bold" w:cs="Times New Roman Bold"/>
                <w:b/>
                <w:bCs/>
                <w:kern w:val="0"/>
                <w:sz w:val="24"/>
                <w:szCs w:val="24"/>
              </w:rPr>
            </w:pPr>
            <w:r>
              <w:rPr>
                <w:rFonts w:ascii="Times New Roman Bold" w:hAnsi="Times New Roman Bold" w:cs="Times New Roman Bold"/>
                <w:b/>
                <w:bCs/>
                <w:kern w:val="0"/>
                <w:sz w:val="24"/>
                <w:szCs w:val="24"/>
              </w:rPr>
              <w:t>IC</w:t>
            </w:r>
          </w:p>
          <w:p w14:paraId="372FC624">
            <w:pPr>
              <w:jc w:val="center"/>
              <w:rPr>
                <w:rFonts w:ascii="Times New Roman Bold" w:hAnsi="Times New Roman Bold" w:cs="Times New Roman Bold"/>
                <w:b/>
                <w:bCs/>
                <w:kern w:val="0"/>
                <w:sz w:val="24"/>
                <w:szCs w:val="24"/>
              </w:rPr>
            </w:pPr>
            <w:r>
              <w:rPr>
                <w:rFonts w:ascii="Times New Roman Bold" w:hAnsi="Times New Roman Bold" w:cs="Times New Roman Bold"/>
                <w:b/>
                <w:bCs/>
                <w:kern w:val="0"/>
                <w:sz w:val="24"/>
                <w:szCs w:val="24"/>
              </w:rPr>
              <w:t>(IC025)</w:t>
            </w:r>
          </w:p>
        </w:tc>
        <w:tc>
          <w:tcPr>
            <w:tcW w:w="1443" w:type="dxa"/>
            <w:tcBorders>
              <w:top w:val="single" w:color="000000" w:sz="8" w:space="0"/>
              <w:left w:val="nil"/>
              <w:bottom w:val="single" w:color="000000" w:sz="8" w:space="0"/>
              <w:right w:val="nil"/>
            </w:tcBorders>
          </w:tcPr>
          <w:p w14:paraId="3ED11F21">
            <w:pPr>
              <w:jc w:val="center"/>
              <w:rPr>
                <w:rFonts w:ascii="Times New Roman Bold" w:hAnsi="Times New Roman Bold" w:cs="Times New Roman Bold"/>
                <w:b/>
                <w:bCs/>
                <w:kern w:val="0"/>
                <w:sz w:val="24"/>
                <w:szCs w:val="24"/>
              </w:rPr>
            </w:pPr>
            <w:r>
              <w:rPr>
                <w:rFonts w:ascii="Times New Roman Bold" w:hAnsi="Times New Roman Bold" w:cs="Times New Roman Bold"/>
                <w:b/>
                <w:bCs/>
                <w:kern w:val="0"/>
                <w:sz w:val="24"/>
                <w:szCs w:val="24"/>
              </w:rPr>
              <w:t>EBGM</w:t>
            </w:r>
          </w:p>
          <w:p w14:paraId="77A41CD6">
            <w:pPr>
              <w:jc w:val="center"/>
              <w:rPr>
                <w:rFonts w:ascii="Times New Roman Bold" w:hAnsi="Times New Roman Bold" w:cs="Times New Roman Bold"/>
                <w:b/>
                <w:bCs/>
                <w:kern w:val="0"/>
                <w:sz w:val="24"/>
                <w:szCs w:val="24"/>
              </w:rPr>
            </w:pPr>
            <w:r>
              <w:rPr>
                <w:rFonts w:ascii="Times New Roman Bold" w:hAnsi="Times New Roman Bold" w:cs="Times New Roman Bold"/>
                <w:b/>
                <w:bCs/>
                <w:kern w:val="0"/>
                <w:sz w:val="24"/>
                <w:szCs w:val="24"/>
              </w:rPr>
              <w:t>(EBGM05)</w:t>
            </w:r>
          </w:p>
        </w:tc>
      </w:tr>
      <w:tr w14:paraId="6FD63C2B">
        <w:tc>
          <w:tcPr>
            <w:tcW w:w="2314" w:type="dxa"/>
            <w:tcBorders>
              <w:top w:val="single" w:color="000000" w:sz="8" w:space="0"/>
              <w:left w:val="nil"/>
              <w:bottom w:val="nil"/>
              <w:right w:val="nil"/>
            </w:tcBorders>
            <w:vAlign w:val="center"/>
          </w:tcPr>
          <w:p w14:paraId="26320EF5">
            <w:pPr>
              <w:widowControl/>
              <w:jc w:val="left"/>
              <w:textAlignment w:val="center"/>
              <w:rPr>
                <w:rFonts w:ascii="Times New Roman Regular" w:hAnsi="Times New Roman Regular"/>
                <w:kern w:val="0"/>
              </w:rPr>
            </w:pPr>
            <w:r>
              <w:rPr>
                <w:rFonts w:ascii="Times New Roman Regular" w:hAnsi="Times New Roman Regular"/>
                <w:color w:val="000000"/>
                <w:kern w:val="0"/>
              </w:rPr>
              <w:t>Death#</w:t>
            </w:r>
          </w:p>
        </w:tc>
        <w:tc>
          <w:tcPr>
            <w:tcW w:w="4034" w:type="dxa"/>
            <w:tcBorders>
              <w:top w:val="single" w:color="000000" w:sz="8" w:space="0"/>
              <w:left w:val="nil"/>
              <w:bottom w:val="nil"/>
              <w:right w:val="nil"/>
            </w:tcBorders>
            <w:vAlign w:val="center"/>
          </w:tcPr>
          <w:p w14:paraId="69749B9A">
            <w:pPr>
              <w:widowControl/>
              <w:jc w:val="left"/>
              <w:textAlignment w:val="center"/>
              <w:rPr>
                <w:rFonts w:ascii="Times New Roman Regular" w:hAnsi="Times New Roman Regular"/>
                <w:kern w:val="0"/>
              </w:rPr>
            </w:pPr>
            <w:r>
              <w:rPr>
                <w:rFonts w:ascii="Times New Roman Regular" w:hAnsi="Times New Roman Regular"/>
                <w:color w:val="000000"/>
                <w:kern w:val="0"/>
              </w:rPr>
              <w:t>General disorders and administration site conditions#</w:t>
            </w:r>
          </w:p>
        </w:tc>
        <w:tc>
          <w:tcPr>
            <w:tcW w:w="1166" w:type="dxa"/>
            <w:tcBorders>
              <w:top w:val="single" w:color="000000" w:sz="8" w:space="0"/>
              <w:left w:val="nil"/>
              <w:bottom w:val="nil"/>
              <w:right w:val="nil"/>
            </w:tcBorders>
            <w:vAlign w:val="center"/>
          </w:tcPr>
          <w:p w14:paraId="3982518A">
            <w:pPr>
              <w:widowControl/>
              <w:jc w:val="center"/>
              <w:textAlignment w:val="center"/>
              <w:rPr>
                <w:rFonts w:ascii="Times New Roman Regular" w:hAnsi="Times New Roman Regular"/>
                <w:kern w:val="0"/>
              </w:rPr>
            </w:pPr>
            <w:r>
              <w:rPr>
                <w:rFonts w:ascii="Times New Roman Regular" w:hAnsi="Times New Roman Regular"/>
                <w:color w:val="000000"/>
                <w:kern w:val="0"/>
              </w:rPr>
              <w:t>11753</w:t>
            </w:r>
          </w:p>
        </w:tc>
        <w:tc>
          <w:tcPr>
            <w:tcW w:w="1913" w:type="dxa"/>
            <w:tcBorders>
              <w:top w:val="single" w:color="000000" w:sz="8" w:space="0"/>
              <w:left w:val="nil"/>
              <w:bottom w:val="nil"/>
              <w:right w:val="nil"/>
            </w:tcBorders>
            <w:vAlign w:val="center"/>
          </w:tcPr>
          <w:p w14:paraId="577EF8DE">
            <w:pPr>
              <w:widowControl/>
              <w:jc w:val="center"/>
              <w:textAlignment w:val="center"/>
              <w:rPr>
                <w:rFonts w:ascii="Times New Roman Regular" w:hAnsi="Times New Roman Regular"/>
                <w:kern w:val="0"/>
              </w:rPr>
            </w:pPr>
            <w:r>
              <w:rPr>
                <w:rFonts w:ascii="Times New Roman Regular" w:hAnsi="Times New Roman Regular"/>
                <w:color w:val="000000"/>
                <w:kern w:val="0"/>
              </w:rPr>
              <w:t>15.99 (15.61-16.39)</w:t>
            </w:r>
          </w:p>
        </w:tc>
        <w:tc>
          <w:tcPr>
            <w:tcW w:w="1982" w:type="dxa"/>
            <w:tcBorders>
              <w:top w:val="single" w:color="000000" w:sz="8" w:space="0"/>
              <w:left w:val="nil"/>
              <w:bottom w:val="nil"/>
              <w:right w:val="nil"/>
            </w:tcBorders>
            <w:vAlign w:val="center"/>
          </w:tcPr>
          <w:p w14:paraId="3D1E3F68">
            <w:pPr>
              <w:widowControl/>
              <w:jc w:val="center"/>
              <w:textAlignment w:val="center"/>
              <w:rPr>
                <w:rFonts w:ascii="Times New Roman Regular" w:hAnsi="Times New Roman Regular"/>
                <w:kern w:val="0"/>
              </w:rPr>
            </w:pPr>
            <w:r>
              <w:rPr>
                <w:rFonts w:ascii="Times New Roman Regular" w:hAnsi="Times New Roman Regular"/>
                <w:color w:val="000000"/>
                <w:kern w:val="0"/>
              </w:rPr>
              <w:t>9.46 (9.33-9.59)</w:t>
            </w:r>
          </w:p>
        </w:tc>
        <w:tc>
          <w:tcPr>
            <w:tcW w:w="1322" w:type="dxa"/>
            <w:tcBorders>
              <w:top w:val="single" w:color="000000" w:sz="8" w:space="0"/>
              <w:left w:val="nil"/>
              <w:bottom w:val="nil"/>
              <w:right w:val="nil"/>
            </w:tcBorders>
            <w:vAlign w:val="center"/>
          </w:tcPr>
          <w:p w14:paraId="4C733BB1">
            <w:pPr>
              <w:widowControl/>
              <w:jc w:val="center"/>
              <w:textAlignment w:val="center"/>
              <w:rPr>
                <w:rFonts w:ascii="Times New Roman Regular" w:hAnsi="Times New Roman Regular"/>
                <w:kern w:val="0"/>
              </w:rPr>
            </w:pPr>
            <w:r>
              <w:rPr>
                <w:rFonts w:ascii="Times New Roman Regular" w:hAnsi="Times New Roman Regular"/>
                <w:color w:val="000000"/>
                <w:kern w:val="0"/>
              </w:rPr>
              <w:t>3.21 (3.13)</w:t>
            </w:r>
          </w:p>
        </w:tc>
        <w:tc>
          <w:tcPr>
            <w:tcW w:w="1443" w:type="dxa"/>
            <w:tcBorders>
              <w:top w:val="single" w:color="000000" w:sz="8" w:space="0"/>
              <w:left w:val="nil"/>
              <w:bottom w:val="nil"/>
              <w:right w:val="nil"/>
            </w:tcBorders>
            <w:vAlign w:val="center"/>
          </w:tcPr>
          <w:p w14:paraId="7BC5D701">
            <w:pPr>
              <w:widowControl/>
              <w:jc w:val="center"/>
              <w:textAlignment w:val="center"/>
              <w:rPr>
                <w:rFonts w:ascii="Times New Roman Regular" w:hAnsi="Times New Roman Regular"/>
                <w:kern w:val="0"/>
              </w:rPr>
            </w:pPr>
            <w:r>
              <w:rPr>
                <w:rFonts w:ascii="Times New Roman Regular" w:hAnsi="Times New Roman Regular"/>
                <w:color w:val="000000"/>
                <w:kern w:val="0"/>
              </w:rPr>
              <w:t>9.23 (9.01)</w:t>
            </w:r>
          </w:p>
        </w:tc>
      </w:tr>
      <w:tr w14:paraId="51892440">
        <w:tc>
          <w:tcPr>
            <w:tcW w:w="2314" w:type="dxa"/>
            <w:tcBorders>
              <w:top w:val="nil"/>
              <w:left w:val="nil"/>
              <w:bottom w:val="nil"/>
              <w:right w:val="nil"/>
            </w:tcBorders>
            <w:vAlign w:val="center"/>
          </w:tcPr>
          <w:p w14:paraId="08CF32BD">
            <w:pPr>
              <w:widowControl/>
              <w:jc w:val="left"/>
              <w:textAlignment w:val="center"/>
              <w:rPr>
                <w:rFonts w:ascii="Times New Roman Regular" w:hAnsi="Times New Roman Regular"/>
                <w:kern w:val="0"/>
              </w:rPr>
            </w:pPr>
            <w:r>
              <w:rPr>
                <w:rFonts w:ascii="Times New Roman Regular" w:hAnsi="Times New Roman Regular"/>
                <w:color w:val="000000"/>
                <w:kern w:val="0"/>
              </w:rPr>
              <w:t>Rash#</w:t>
            </w:r>
          </w:p>
        </w:tc>
        <w:tc>
          <w:tcPr>
            <w:tcW w:w="4034" w:type="dxa"/>
            <w:tcBorders>
              <w:top w:val="nil"/>
              <w:left w:val="nil"/>
              <w:bottom w:val="nil"/>
              <w:right w:val="nil"/>
            </w:tcBorders>
            <w:vAlign w:val="center"/>
          </w:tcPr>
          <w:p w14:paraId="0FDA2C8B">
            <w:pPr>
              <w:widowControl/>
              <w:jc w:val="left"/>
              <w:textAlignment w:val="center"/>
              <w:rPr>
                <w:rFonts w:ascii="Times New Roman Regular" w:hAnsi="Times New Roman Regular"/>
                <w:kern w:val="0"/>
              </w:rPr>
            </w:pPr>
            <w:r>
              <w:rPr>
                <w:rFonts w:ascii="Times New Roman Regular" w:hAnsi="Times New Roman Regular"/>
                <w:color w:val="000000"/>
                <w:kern w:val="0"/>
              </w:rPr>
              <w:t>Skin and subcutaneous tissue disorders#</w:t>
            </w:r>
          </w:p>
        </w:tc>
        <w:tc>
          <w:tcPr>
            <w:tcW w:w="1166" w:type="dxa"/>
            <w:tcBorders>
              <w:top w:val="nil"/>
              <w:left w:val="nil"/>
              <w:bottom w:val="nil"/>
              <w:right w:val="nil"/>
            </w:tcBorders>
            <w:vAlign w:val="center"/>
          </w:tcPr>
          <w:p w14:paraId="3FEB8698">
            <w:pPr>
              <w:widowControl/>
              <w:jc w:val="center"/>
              <w:textAlignment w:val="center"/>
              <w:rPr>
                <w:rFonts w:ascii="Times New Roman Regular" w:hAnsi="Times New Roman Regular"/>
                <w:kern w:val="0"/>
              </w:rPr>
            </w:pPr>
            <w:r>
              <w:rPr>
                <w:rFonts w:ascii="Times New Roman Regular" w:hAnsi="Times New Roman Regular"/>
                <w:color w:val="000000"/>
                <w:kern w:val="0"/>
              </w:rPr>
              <w:t>4061</w:t>
            </w:r>
          </w:p>
        </w:tc>
        <w:tc>
          <w:tcPr>
            <w:tcW w:w="1913" w:type="dxa"/>
            <w:tcBorders>
              <w:top w:val="nil"/>
              <w:left w:val="nil"/>
              <w:bottom w:val="nil"/>
              <w:right w:val="nil"/>
            </w:tcBorders>
            <w:vAlign w:val="center"/>
          </w:tcPr>
          <w:p w14:paraId="4997549A">
            <w:pPr>
              <w:widowControl/>
              <w:jc w:val="center"/>
              <w:textAlignment w:val="center"/>
              <w:rPr>
                <w:rFonts w:ascii="Times New Roman Regular" w:hAnsi="Times New Roman Regular"/>
                <w:kern w:val="0"/>
              </w:rPr>
            </w:pPr>
            <w:r>
              <w:rPr>
                <w:rFonts w:ascii="Times New Roman Regular" w:hAnsi="Times New Roman Regular"/>
                <w:color w:val="000000"/>
                <w:kern w:val="0"/>
              </w:rPr>
              <w:t>10.38 (10.04-10.74)</w:t>
            </w:r>
          </w:p>
        </w:tc>
        <w:tc>
          <w:tcPr>
            <w:tcW w:w="1982" w:type="dxa"/>
            <w:tcBorders>
              <w:top w:val="nil"/>
              <w:left w:val="nil"/>
              <w:bottom w:val="nil"/>
              <w:right w:val="nil"/>
            </w:tcBorders>
            <w:vAlign w:val="center"/>
          </w:tcPr>
          <w:p w14:paraId="4D957A8D">
            <w:pPr>
              <w:widowControl/>
              <w:jc w:val="center"/>
              <w:textAlignment w:val="center"/>
              <w:rPr>
                <w:rFonts w:ascii="Times New Roman Regular" w:hAnsi="Times New Roman Regular"/>
                <w:kern w:val="0"/>
              </w:rPr>
            </w:pPr>
            <w:r>
              <w:rPr>
                <w:rFonts w:ascii="Times New Roman Regular" w:hAnsi="Times New Roman Regular"/>
                <w:color w:val="000000"/>
                <w:kern w:val="0"/>
              </w:rPr>
              <w:t>8.97 (8.72-9.23)</w:t>
            </w:r>
          </w:p>
        </w:tc>
        <w:tc>
          <w:tcPr>
            <w:tcW w:w="1322" w:type="dxa"/>
            <w:tcBorders>
              <w:top w:val="nil"/>
              <w:left w:val="nil"/>
              <w:bottom w:val="nil"/>
              <w:right w:val="nil"/>
            </w:tcBorders>
            <w:vAlign w:val="center"/>
          </w:tcPr>
          <w:p w14:paraId="7A8B4E8F">
            <w:pPr>
              <w:widowControl/>
              <w:jc w:val="center"/>
              <w:textAlignment w:val="center"/>
              <w:rPr>
                <w:rFonts w:ascii="Times New Roman Regular" w:hAnsi="Times New Roman Regular"/>
                <w:kern w:val="0"/>
              </w:rPr>
            </w:pPr>
            <w:r>
              <w:rPr>
                <w:rFonts w:ascii="Times New Roman Regular" w:hAnsi="Times New Roman Regular"/>
                <w:color w:val="000000"/>
                <w:kern w:val="0"/>
              </w:rPr>
              <w:t>3.13 (3.02)</w:t>
            </w:r>
          </w:p>
        </w:tc>
        <w:tc>
          <w:tcPr>
            <w:tcW w:w="1443" w:type="dxa"/>
            <w:tcBorders>
              <w:top w:val="nil"/>
              <w:left w:val="nil"/>
              <w:bottom w:val="nil"/>
              <w:right w:val="nil"/>
            </w:tcBorders>
            <w:vAlign w:val="center"/>
          </w:tcPr>
          <w:p w14:paraId="4D51ADE6">
            <w:pPr>
              <w:widowControl/>
              <w:jc w:val="center"/>
              <w:textAlignment w:val="center"/>
              <w:rPr>
                <w:rFonts w:ascii="Times New Roman Regular" w:hAnsi="Times New Roman Regular"/>
                <w:kern w:val="0"/>
              </w:rPr>
            </w:pPr>
            <w:r>
              <w:rPr>
                <w:rFonts w:ascii="Times New Roman Regular" w:hAnsi="Times New Roman Regular"/>
                <w:color w:val="000000"/>
                <w:kern w:val="0"/>
              </w:rPr>
              <w:t>8.77 (8.48)</w:t>
            </w:r>
          </w:p>
        </w:tc>
      </w:tr>
      <w:tr w14:paraId="1B6F0A86">
        <w:tc>
          <w:tcPr>
            <w:tcW w:w="2314" w:type="dxa"/>
            <w:tcBorders>
              <w:top w:val="nil"/>
              <w:left w:val="nil"/>
              <w:bottom w:val="nil"/>
              <w:right w:val="nil"/>
            </w:tcBorders>
            <w:vAlign w:val="center"/>
          </w:tcPr>
          <w:p w14:paraId="154080F9">
            <w:pPr>
              <w:widowControl/>
              <w:jc w:val="left"/>
              <w:textAlignment w:val="center"/>
              <w:rPr>
                <w:rFonts w:ascii="Times New Roman Regular" w:hAnsi="Times New Roman Regular"/>
                <w:kern w:val="0"/>
              </w:rPr>
            </w:pPr>
            <w:r>
              <w:rPr>
                <w:rFonts w:ascii="Times New Roman Regular" w:hAnsi="Times New Roman Regular"/>
                <w:color w:val="000000"/>
                <w:kern w:val="0"/>
              </w:rPr>
              <w:t>Diarrhoea#</w:t>
            </w:r>
          </w:p>
        </w:tc>
        <w:tc>
          <w:tcPr>
            <w:tcW w:w="4034" w:type="dxa"/>
            <w:tcBorders>
              <w:top w:val="nil"/>
              <w:left w:val="nil"/>
              <w:bottom w:val="nil"/>
              <w:right w:val="nil"/>
            </w:tcBorders>
            <w:vAlign w:val="center"/>
          </w:tcPr>
          <w:p w14:paraId="66A07C23">
            <w:pPr>
              <w:widowControl/>
              <w:jc w:val="left"/>
              <w:textAlignment w:val="center"/>
              <w:rPr>
                <w:rFonts w:ascii="Times New Roman Regular" w:hAnsi="Times New Roman Regular"/>
                <w:kern w:val="0"/>
              </w:rPr>
            </w:pPr>
            <w:r>
              <w:rPr>
                <w:rFonts w:ascii="Times New Roman Regular" w:hAnsi="Times New Roman Regular"/>
                <w:color w:val="000000"/>
                <w:kern w:val="0"/>
              </w:rPr>
              <w:t>Gastrointestinal disorders#</w:t>
            </w:r>
          </w:p>
        </w:tc>
        <w:tc>
          <w:tcPr>
            <w:tcW w:w="1166" w:type="dxa"/>
            <w:tcBorders>
              <w:top w:val="nil"/>
              <w:left w:val="nil"/>
              <w:bottom w:val="nil"/>
              <w:right w:val="nil"/>
            </w:tcBorders>
            <w:vAlign w:val="center"/>
          </w:tcPr>
          <w:p w14:paraId="35C746F2">
            <w:pPr>
              <w:widowControl/>
              <w:jc w:val="center"/>
              <w:textAlignment w:val="center"/>
              <w:rPr>
                <w:rFonts w:ascii="Times New Roman Regular" w:hAnsi="Times New Roman Regular"/>
                <w:kern w:val="0"/>
              </w:rPr>
            </w:pPr>
            <w:r>
              <w:rPr>
                <w:rFonts w:ascii="Times New Roman Regular" w:hAnsi="Times New Roman Regular"/>
                <w:color w:val="000000"/>
                <w:kern w:val="0"/>
              </w:rPr>
              <w:t>2732</w:t>
            </w:r>
          </w:p>
        </w:tc>
        <w:tc>
          <w:tcPr>
            <w:tcW w:w="1913" w:type="dxa"/>
            <w:tcBorders>
              <w:top w:val="nil"/>
              <w:left w:val="nil"/>
              <w:bottom w:val="nil"/>
              <w:right w:val="nil"/>
            </w:tcBorders>
            <w:vAlign w:val="center"/>
          </w:tcPr>
          <w:p w14:paraId="38F991E6">
            <w:pPr>
              <w:widowControl/>
              <w:jc w:val="center"/>
              <w:textAlignment w:val="center"/>
              <w:rPr>
                <w:rFonts w:ascii="Times New Roman Regular" w:hAnsi="Times New Roman Regular"/>
                <w:kern w:val="0"/>
              </w:rPr>
            </w:pPr>
            <w:r>
              <w:rPr>
                <w:rFonts w:ascii="Times New Roman Regular" w:hAnsi="Times New Roman Regular"/>
                <w:color w:val="000000"/>
                <w:kern w:val="0"/>
              </w:rPr>
              <w:t>4.47 (4.3-4.65)</w:t>
            </w:r>
          </w:p>
        </w:tc>
        <w:tc>
          <w:tcPr>
            <w:tcW w:w="1982" w:type="dxa"/>
            <w:tcBorders>
              <w:top w:val="nil"/>
              <w:left w:val="nil"/>
              <w:bottom w:val="nil"/>
              <w:right w:val="nil"/>
            </w:tcBorders>
            <w:vAlign w:val="center"/>
          </w:tcPr>
          <w:p w14:paraId="595EF22E">
            <w:pPr>
              <w:widowControl/>
              <w:jc w:val="center"/>
              <w:textAlignment w:val="center"/>
              <w:rPr>
                <w:rFonts w:ascii="Times New Roman Regular" w:hAnsi="Times New Roman Regular"/>
                <w:kern w:val="0"/>
              </w:rPr>
            </w:pPr>
            <w:r>
              <w:rPr>
                <w:rFonts w:ascii="Times New Roman Regular" w:hAnsi="Times New Roman Regular"/>
                <w:color w:val="000000"/>
                <w:kern w:val="0"/>
              </w:rPr>
              <w:t>4.12 (3.97-4.27)</w:t>
            </w:r>
          </w:p>
        </w:tc>
        <w:tc>
          <w:tcPr>
            <w:tcW w:w="1322" w:type="dxa"/>
            <w:tcBorders>
              <w:top w:val="nil"/>
              <w:left w:val="nil"/>
              <w:bottom w:val="nil"/>
              <w:right w:val="nil"/>
            </w:tcBorders>
            <w:vAlign w:val="center"/>
          </w:tcPr>
          <w:p w14:paraId="2A7DAF72">
            <w:pPr>
              <w:widowControl/>
              <w:jc w:val="center"/>
              <w:textAlignment w:val="center"/>
              <w:rPr>
                <w:rFonts w:ascii="Times New Roman Regular" w:hAnsi="Times New Roman Regular"/>
                <w:kern w:val="0"/>
              </w:rPr>
            </w:pPr>
            <w:r>
              <w:rPr>
                <w:rFonts w:ascii="Times New Roman Regular" w:hAnsi="Times New Roman Regular"/>
                <w:color w:val="000000"/>
                <w:kern w:val="0"/>
              </w:rPr>
              <w:t>2.03 (1.9)</w:t>
            </w:r>
          </w:p>
        </w:tc>
        <w:tc>
          <w:tcPr>
            <w:tcW w:w="1443" w:type="dxa"/>
            <w:tcBorders>
              <w:top w:val="nil"/>
              <w:left w:val="nil"/>
              <w:bottom w:val="nil"/>
              <w:right w:val="nil"/>
            </w:tcBorders>
            <w:vAlign w:val="center"/>
          </w:tcPr>
          <w:p w14:paraId="32C06EFF">
            <w:pPr>
              <w:widowControl/>
              <w:jc w:val="center"/>
              <w:textAlignment w:val="center"/>
              <w:rPr>
                <w:rFonts w:ascii="Times New Roman Regular" w:hAnsi="Times New Roman Regular"/>
                <w:kern w:val="0"/>
              </w:rPr>
            </w:pPr>
            <w:r>
              <w:rPr>
                <w:rFonts w:ascii="Times New Roman Regular" w:hAnsi="Times New Roman Regular"/>
                <w:color w:val="000000"/>
                <w:kern w:val="0"/>
              </w:rPr>
              <w:t>4.08 (3.92)</w:t>
            </w:r>
          </w:p>
        </w:tc>
      </w:tr>
      <w:tr w14:paraId="065A201C">
        <w:tc>
          <w:tcPr>
            <w:tcW w:w="2314" w:type="dxa"/>
            <w:tcBorders>
              <w:top w:val="nil"/>
              <w:left w:val="nil"/>
              <w:bottom w:val="nil"/>
              <w:right w:val="nil"/>
            </w:tcBorders>
            <w:vAlign w:val="center"/>
          </w:tcPr>
          <w:p w14:paraId="0DF38103">
            <w:pPr>
              <w:widowControl/>
              <w:jc w:val="left"/>
              <w:textAlignment w:val="center"/>
              <w:rPr>
                <w:rFonts w:ascii="Times New Roman Regular" w:hAnsi="Times New Roman Regular"/>
                <w:kern w:val="0"/>
              </w:rPr>
            </w:pPr>
            <w:r>
              <w:rPr>
                <w:rFonts w:ascii="Times New Roman Regular" w:hAnsi="Times New Roman Regular"/>
                <w:color w:val="000000"/>
                <w:kern w:val="0"/>
              </w:rPr>
              <w:t>Disease progression#</w:t>
            </w:r>
          </w:p>
        </w:tc>
        <w:tc>
          <w:tcPr>
            <w:tcW w:w="4034" w:type="dxa"/>
            <w:tcBorders>
              <w:top w:val="nil"/>
              <w:left w:val="nil"/>
              <w:bottom w:val="nil"/>
              <w:right w:val="nil"/>
            </w:tcBorders>
            <w:vAlign w:val="center"/>
          </w:tcPr>
          <w:p w14:paraId="51A90AC2">
            <w:pPr>
              <w:widowControl/>
              <w:jc w:val="left"/>
              <w:textAlignment w:val="center"/>
              <w:rPr>
                <w:rFonts w:ascii="Times New Roman Regular" w:hAnsi="Times New Roman Regular"/>
                <w:kern w:val="0"/>
              </w:rPr>
            </w:pPr>
            <w:r>
              <w:rPr>
                <w:rFonts w:ascii="Times New Roman Regular" w:hAnsi="Times New Roman Regular"/>
                <w:color w:val="000000"/>
                <w:kern w:val="0"/>
              </w:rPr>
              <w:t>General disorders and administration site conditions</w:t>
            </w:r>
          </w:p>
        </w:tc>
        <w:tc>
          <w:tcPr>
            <w:tcW w:w="1166" w:type="dxa"/>
            <w:tcBorders>
              <w:top w:val="nil"/>
              <w:left w:val="nil"/>
              <w:bottom w:val="nil"/>
              <w:right w:val="nil"/>
            </w:tcBorders>
            <w:vAlign w:val="center"/>
          </w:tcPr>
          <w:p w14:paraId="5D0E96EE">
            <w:pPr>
              <w:widowControl/>
              <w:jc w:val="center"/>
              <w:textAlignment w:val="center"/>
              <w:rPr>
                <w:rFonts w:ascii="Times New Roman Regular" w:hAnsi="Times New Roman Regular"/>
                <w:kern w:val="0"/>
              </w:rPr>
            </w:pPr>
            <w:r>
              <w:rPr>
                <w:rFonts w:ascii="Times New Roman Regular" w:hAnsi="Times New Roman Regular"/>
                <w:color w:val="000000"/>
                <w:kern w:val="0"/>
              </w:rPr>
              <w:t>898</w:t>
            </w:r>
          </w:p>
        </w:tc>
        <w:tc>
          <w:tcPr>
            <w:tcW w:w="1913" w:type="dxa"/>
            <w:tcBorders>
              <w:top w:val="nil"/>
              <w:left w:val="nil"/>
              <w:bottom w:val="nil"/>
              <w:right w:val="nil"/>
            </w:tcBorders>
            <w:vAlign w:val="center"/>
          </w:tcPr>
          <w:p w14:paraId="13C11C3A">
            <w:pPr>
              <w:widowControl/>
              <w:jc w:val="center"/>
              <w:textAlignment w:val="center"/>
              <w:rPr>
                <w:rFonts w:ascii="Times New Roman Regular" w:hAnsi="Times New Roman Regular"/>
                <w:kern w:val="0"/>
              </w:rPr>
            </w:pPr>
            <w:r>
              <w:rPr>
                <w:rFonts w:ascii="Times New Roman Regular" w:hAnsi="Times New Roman Regular"/>
                <w:color w:val="000000"/>
                <w:kern w:val="0"/>
              </w:rPr>
              <w:t>6.94 (6.49-7.42)</w:t>
            </w:r>
          </w:p>
        </w:tc>
        <w:tc>
          <w:tcPr>
            <w:tcW w:w="1982" w:type="dxa"/>
            <w:tcBorders>
              <w:top w:val="nil"/>
              <w:left w:val="nil"/>
              <w:bottom w:val="nil"/>
              <w:right w:val="nil"/>
            </w:tcBorders>
            <w:vAlign w:val="center"/>
          </w:tcPr>
          <w:p w14:paraId="7264A8E5">
            <w:pPr>
              <w:widowControl/>
              <w:jc w:val="center"/>
              <w:textAlignment w:val="center"/>
              <w:rPr>
                <w:rFonts w:ascii="Times New Roman Regular" w:hAnsi="Times New Roman Regular"/>
                <w:kern w:val="0"/>
              </w:rPr>
            </w:pPr>
            <w:r>
              <w:rPr>
                <w:rFonts w:ascii="Times New Roman Regular" w:hAnsi="Times New Roman Regular"/>
                <w:color w:val="000000"/>
                <w:kern w:val="0"/>
              </w:rPr>
              <w:t>6.74 (6.32-7.19)</w:t>
            </w:r>
          </w:p>
        </w:tc>
        <w:tc>
          <w:tcPr>
            <w:tcW w:w="1322" w:type="dxa"/>
            <w:tcBorders>
              <w:top w:val="nil"/>
              <w:left w:val="nil"/>
              <w:bottom w:val="nil"/>
              <w:right w:val="nil"/>
            </w:tcBorders>
            <w:vAlign w:val="center"/>
          </w:tcPr>
          <w:p w14:paraId="1AB05281">
            <w:pPr>
              <w:widowControl/>
              <w:jc w:val="center"/>
              <w:textAlignment w:val="center"/>
              <w:rPr>
                <w:rFonts w:ascii="Times New Roman Regular" w:hAnsi="Times New Roman Regular"/>
                <w:kern w:val="0"/>
              </w:rPr>
            </w:pPr>
            <w:r>
              <w:rPr>
                <w:rFonts w:ascii="Times New Roman Regular" w:hAnsi="Times New Roman Regular"/>
                <w:color w:val="000000"/>
                <w:kern w:val="0"/>
              </w:rPr>
              <w:t>2.73 (2.5)</w:t>
            </w:r>
          </w:p>
        </w:tc>
        <w:tc>
          <w:tcPr>
            <w:tcW w:w="1443" w:type="dxa"/>
            <w:tcBorders>
              <w:top w:val="nil"/>
              <w:left w:val="nil"/>
              <w:bottom w:val="nil"/>
              <w:right w:val="nil"/>
            </w:tcBorders>
            <w:vAlign w:val="center"/>
          </w:tcPr>
          <w:p w14:paraId="7959D555">
            <w:pPr>
              <w:widowControl/>
              <w:jc w:val="center"/>
              <w:textAlignment w:val="center"/>
              <w:rPr>
                <w:rFonts w:ascii="Times New Roman Regular" w:hAnsi="Times New Roman Regular"/>
                <w:kern w:val="0"/>
              </w:rPr>
            </w:pPr>
            <w:r>
              <w:rPr>
                <w:rFonts w:ascii="Times New Roman Regular" w:hAnsi="Times New Roman Regular"/>
                <w:color w:val="000000"/>
                <w:kern w:val="0"/>
              </w:rPr>
              <w:t>6.63 (6.2)</w:t>
            </w:r>
          </w:p>
        </w:tc>
      </w:tr>
      <w:tr w14:paraId="0832A42D">
        <w:tc>
          <w:tcPr>
            <w:tcW w:w="2314" w:type="dxa"/>
            <w:tcBorders>
              <w:top w:val="nil"/>
              <w:left w:val="nil"/>
              <w:bottom w:val="nil"/>
              <w:right w:val="nil"/>
            </w:tcBorders>
            <w:vAlign w:val="center"/>
          </w:tcPr>
          <w:p w14:paraId="4A8E79CF">
            <w:pPr>
              <w:widowControl/>
              <w:jc w:val="left"/>
              <w:textAlignment w:val="center"/>
              <w:rPr>
                <w:rFonts w:ascii="Times New Roman Regular" w:hAnsi="Times New Roman Regular"/>
                <w:kern w:val="0"/>
              </w:rPr>
            </w:pPr>
            <w:r>
              <w:rPr>
                <w:rFonts w:ascii="Times New Roman Regular" w:hAnsi="Times New Roman Regular"/>
                <w:color w:val="000000"/>
                <w:kern w:val="0"/>
              </w:rPr>
              <w:t>Decreased appetite#</w:t>
            </w:r>
          </w:p>
        </w:tc>
        <w:tc>
          <w:tcPr>
            <w:tcW w:w="4034" w:type="dxa"/>
            <w:tcBorders>
              <w:top w:val="nil"/>
              <w:left w:val="nil"/>
              <w:bottom w:val="nil"/>
              <w:right w:val="nil"/>
            </w:tcBorders>
            <w:vAlign w:val="center"/>
          </w:tcPr>
          <w:p w14:paraId="56E3D769">
            <w:pPr>
              <w:widowControl/>
              <w:jc w:val="left"/>
              <w:textAlignment w:val="center"/>
              <w:rPr>
                <w:rFonts w:ascii="Times New Roman Regular" w:hAnsi="Times New Roman Regular"/>
                <w:kern w:val="0"/>
              </w:rPr>
            </w:pPr>
            <w:r>
              <w:rPr>
                <w:rFonts w:ascii="Times New Roman Regular" w:hAnsi="Times New Roman Regular"/>
                <w:color w:val="000000"/>
                <w:kern w:val="0"/>
              </w:rPr>
              <w:t>Metabolism and nutrition disorders#</w:t>
            </w:r>
          </w:p>
        </w:tc>
        <w:tc>
          <w:tcPr>
            <w:tcW w:w="1166" w:type="dxa"/>
            <w:tcBorders>
              <w:top w:val="nil"/>
              <w:left w:val="nil"/>
              <w:bottom w:val="nil"/>
              <w:right w:val="nil"/>
            </w:tcBorders>
            <w:vAlign w:val="center"/>
          </w:tcPr>
          <w:p w14:paraId="7DCBAF7B">
            <w:pPr>
              <w:widowControl/>
              <w:jc w:val="center"/>
              <w:textAlignment w:val="center"/>
              <w:rPr>
                <w:rFonts w:ascii="Times New Roman Regular" w:hAnsi="Times New Roman Regular"/>
                <w:kern w:val="0"/>
              </w:rPr>
            </w:pPr>
            <w:r>
              <w:rPr>
                <w:rFonts w:ascii="Times New Roman Regular" w:hAnsi="Times New Roman Regular"/>
                <w:color w:val="000000"/>
                <w:kern w:val="0"/>
              </w:rPr>
              <w:t>724</w:t>
            </w:r>
          </w:p>
        </w:tc>
        <w:tc>
          <w:tcPr>
            <w:tcW w:w="1913" w:type="dxa"/>
            <w:tcBorders>
              <w:top w:val="nil"/>
              <w:left w:val="nil"/>
              <w:bottom w:val="nil"/>
              <w:right w:val="nil"/>
            </w:tcBorders>
            <w:vAlign w:val="center"/>
          </w:tcPr>
          <w:p w14:paraId="0A1807CF">
            <w:pPr>
              <w:widowControl/>
              <w:jc w:val="center"/>
              <w:textAlignment w:val="center"/>
              <w:rPr>
                <w:rFonts w:ascii="Times New Roman Regular" w:hAnsi="Times New Roman Regular"/>
                <w:kern w:val="0"/>
              </w:rPr>
            </w:pPr>
            <w:r>
              <w:rPr>
                <w:rFonts w:ascii="Times New Roman Regular" w:hAnsi="Times New Roman Regular"/>
                <w:color w:val="000000"/>
                <w:kern w:val="0"/>
              </w:rPr>
              <w:t>11.09 (10.29-11.96)</w:t>
            </w:r>
          </w:p>
        </w:tc>
        <w:tc>
          <w:tcPr>
            <w:tcW w:w="1982" w:type="dxa"/>
            <w:tcBorders>
              <w:top w:val="nil"/>
              <w:left w:val="nil"/>
              <w:bottom w:val="nil"/>
              <w:right w:val="nil"/>
            </w:tcBorders>
            <w:vAlign w:val="center"/>
          </w:tcPr>
          <w:p w14:paraId="56F048EB">
            <w:pPr>
              <w:widowControl/>
              <w:jc w:val="center"/>
              <w:textAlignment w:val="center"/>
              <w:rPr>
                <w:rFonts w:ascii="Times New Roman Regular" w:hAnsi="Times New Roman Regular"/>
                <w:kern w:val="0"/>
              </w:rPr>
            </w:pPr>
            <w:r>
              <w:rPr>
                <w:rFonts w:ascii="Times New Roman Regular" w:hAnsi="Times New Roman Regular"/>
                <w:color w:val="000000"/>
                <w:kern w:val="0"/>
              </w:rPr>
              <w:t>10.82 (10.06-11.65)</w:t>
            </w:r>
          </w:p>
        </w:tc>
        <w:tc>
          <w:tcPr>
            <w:tcW w:w="1322" w:type="dxa"/>
            <w:tcBorders>
              <w:top w:val="nil"/>
              <w:left w:val="nil"/>
              <w:bottom w:val="nil"/>
              <w:right w:val="nil"/>
            </w:tcBorders>
            <w:vAlign w:val="center"/>
          </w:tcPr>
          <w:p w14:paraId="5B2A4C77">
            <w:pPr>
              <w:widowControl/>
              <w:jc w:val="center"/>
              <w:textAlignment w:val="center"/>
              <w:rPr>
                <w:rFonts w:ascii="Times New Roman Regular" w:hAnsi="Times New Roman Regular"/>
                <w:kern w:val="0"/>
              </w:rPr>
            </w:pPr>
            <w:r>
              <w:rPr>
                <w:rFonts w:ascii="Times New Roman Regular" w:hAnsi="Times New Roman Regular"/>
                <w:color w:val="000000"/>
                <w:kern w:val="0"/>
              </w:rPr>
              <w:t>3.4 (3.14)</w:t>
            </w:r>
          </w:p>
        </w:tc>
        <w:tc>
          <w:tcPr>
            <w:tcW w:w="1443" w:type="dxa"/>
            <w:tcBorders>
              <w:top w:val="nil"/>
              <w:left w:val="nil"/>
              <w:bottom w:val="nil"/>
              <w:right w:val="nil"/>
            </w:tcBorders>
            <w:vAlign w:val="center"/>
          </w:tcPr>
          <w:p w14:paraId="00C45D0E">
            <w:pPr>
              <w:widowControl/>
              <w:jc w:val="center"/>
              <w:textAlignment w:val="center"/>
              <w:rPr>
                <w:rFonts w:ascii="Times New Roman Regular" w:hAnsi="Times New Roman Regular"/>
                <w:kern w:val="0"/>
              </w:rPr>
            </w:pPr>
            <w:r>
              <w:rPr>
                <w:rFonts w:ascii="Times New Roman Regular" w:hAnsi="Times New Roman Regular"/>
                <w:color w:val="000000"/>
                <w:kern w:val="0"/>
              </w:rPr>
              <w:t>10.53 (9.76)</w:t>
            </w:r>
          </w:p>
        </w:tc>
      </w:tr>
      <w:tr w14:paraId="45F3CB38">
        <w:tc>
          <w:tcPr>
            <w:tcW w:w="2314" w:type="dxa"/>
            <w:tcBorders>
              <w:top w:val="nil"/>
              <w:left w:val="nil"/>
              <w:bottom w:val="nil"/>
              <w:right w:val="nil"/>
            </w:tcBorders>
            <w:vAlign w:val="center"/>
          </w:tcPr>
          <w:p w14:paraId="19D10DC5">
            <w:pPr>
              <w:widowControl/>
              <w:jc w:val="left"/>
              <w:textAlignment w:val="center"/>
              <w:rPr>
                <w:rFonts w:ascii="Times New Roman Regular" w:hAnsi="Times New Roman Regular"/>
                <w:kern w:val="0"/>
              </w:rPr>
            </w:pPr>
            <w:r>
              <w:rPr>
                <w:rFonts w:ascii="Times New Roman Regular" w:hAnsi="Times New Roman Regular"/>
                <w:color w:val="000000"/>
                <w:kern w:val="0"/>
              </w:rPr>
              <w:t>Dry skin#</w:t>
            </w:r>
          </w:p>
        </w:tc>
        <w:tc>
          <w:tcPr>
            <w:tcW w:w="4034" w:type="dxa"/>
            <w:tcBorders>
              <w:top w:val="nil"/>
              <w:left w:val="nil"/>
              <w:bottom w:val="nil"/>
              <w:right w:val="nil"/>
            </w:tcBorders>
            <w:vAlign w:val="center"/>
          </w:tcPr>
          <w:p w14:paraId="0409FF1F">
            <w:pPr>
              <w:widowControl/>
              <w:jc w:val="left"/>
              <w:textAlignment w:val="center"/>
              <w:rPr>
                <w:rFonts w:ascii="Times New Roman Regular" w:hAnsi="Times New Roman Regular"/>
                <w:kern w:val="0"/>
              </w:rPr>
            </w:pPr>
            <w:r>
              <w:rPr>
                <w:rFonts w:ascii="Times New Roman Regular" w:hAnsi="Times New Roman Regular"/>
                <w:color w:val="000000"/>
                <w:kern w:val="0"/>
              </w:rPr>
              <w:t>Skin and subcutaneous tissue disorders#</w:t>
            </w:r>
          </w:p>
        </w:tc>
        <w:tc>
          <w:tcPr>
            <w:tcW w:w="1166" w:type="dxa"/>
            <w:tcBorders>
              <w:top w:val="nil"/>
              <w:left w:val="nil"/>
              <w:bottom w:val="nil"/>
              <w:right w:val="nil"/>
            </w:tcBorders>
            <w:vAlign w:val="center"/>
          </w:tcPr>
          <w:p w14:paraId="0E8CFB1B">
            <w:pPr>
              <w:widowControl/>
              <w:jc w:val="center"/>
              <w:textAlignment w:val="center"/>
              <w:rPr>
                <w:rFonts w:ascii="Times New Roman Regular" w:hAnsi="Times New Roman Regular"/>
                <w:kern w:val="0"/>
              </w:rPr>
            </w:pPr>
            <w:r>
              <w:rPr>
                <w:rFonts w:ascii="Times New Roman Regular" w:hAnsi="Times New Roman Regular"/>
                <w:color w:val="000000"/>
                <w:kern w:val="0"/>
              </w:rPr>
              <w:t>715</w:t>
            </w:r>
          </w:p>
        </w:tc>
        <w:tc>
          <w:tcPr>
            <w:tcW w:w="1913" w:type="dxa"/>
            <w:tcBorders>
              <w:top w:val="nil"/>
              <w:left w:val="nil"/>
              <w:bottom w:val="nil"/>
              <w:right w:val="nil"/>
            </w:tcBorders>
            <w:vAlign w:val="center"/>
          </w:tcPr>
          <w:p w14:paraId="5189E46E">
            <w:pPr>
              <w:widowControl/>
              <w:jc w:val="center"/>
              <w:textAlignment w:val="center"/>
              <w:rPr>
                <w:rFonts w:ascii="Times New Roman Regular" w:hAnsi="Times New Roman Regular"/>
                <w:kern w:val="0"/>
              </w:rPr>
            </w:pPr>
            <w:r>
              <w:rPr>
                <w:rFonts w:ascii="Times New Roman Regular" w:hAnsi="Times New Roman Regular"/>
                <w:color w:val="000000"/>
                <w:kern w:val="0"/>
              </w:rPr>
              <w:t>2.98 (2.76-3.22)</w:t>
            </w:r>
          </w:p>
        </w:tc>
        <w:tc>
          <w:tcPr>
            <w:tcW w:w="1982" w:type="dxa"/>
            <w:tcBorders>
              <w:top w:val="nil"/>
              <w:left w:val="nil"/>
              <w:bottom w:val="nil"/>
              <w:right w:val="nil"/>
            </w:tcBorders>
            <w:vAlign w:val="center"/>
          </w:tcPr>
          <w:p w14:paraId="320D3933">
            <w:pPr>
              <w:widowControl/>
              <w:jc w:val="center"/>
              <w:textAlignment w:val="center"/>
              <w:rPr>
                <w:rFonts w:ascii="Times New Roman Regular" w:hAnsi="Times New Roman Regular"/>
                <w:kern w:val="0"/>
              </w:rPr>
            </w:pPr>
            <w:r>
              <w:rPr>
                <w:rFonts w:ascii="Times New Roman Regular" w:hAnsi="Times New Roman Regular"/>
                <w:color w:val="000000"/>
                <w:kern w:val="0"/>
              </w:rPr>
              <w:t>2.93 (2.72-3.16)</w:t>
            </w:r>
          </w:p>
        </w:tc>
        <w:tc>
          <w:tcPr>
            <w:tcW w:w="1322" w:type="dxa"/>
            <w:tcBorders>
              <w:top w:val="nil"/>
              <w:left w:val="nil"/>
              <w:bottom w:val="nil"/>
              <w:right w:val="nil"/>
            </w:tcBorders>
            <w:vAlign w:val="center"/>
          </w:tcPr>
          <w:p w14:paraId="4058249B">
            <w:pPr>
              <w:widowControl/>
              <w:jc w:val="center"/>
              <w:textAlignment w:val="center"/>
              <w:rPr>
                <w:rFonts w:ascii="Times New Roman Regular" w:hAnsi="Times New Roman Regular"/>
                <w:kern w:val="0"/>
              </w:rPr>
            </w:pPr>
            <w:r>
              <w:rPr>
                <w:rFonts w:ascii="Times New Roman Regular" w:hAnsi="Times New Roman Regular"/>
                <w:color w:val="000000"/>
                <w:kern w:val="0"/>
              </w:rPr>
              <w:t>1.54 (1.28)</w:t>
            </w:r>
          </w:p>
        </w:tc>
        <w:tc>
          <w:tcPr>
            <w:tcW w:w="1443" w:type="dxa"/>
            <w:tcBorders>
              <w:top w:val="nil"/>
              <w:left w:val="nil"/>
              <w:bottom w:val="nil"/>
              <w:right w:val="nil"/>
            </w:tcBorders>
            <w:vAlign w:val="center"/>
          </w:tcPr>
          <w:p w14:paraId="1081284D">
            <w:pPr>
              <w:widowControl/>
              <w:jc w:val="center"/>
              <w:textAlignment w:val="center"/>
              <w:rPr>
                <w:rFonts w:ascii="Times New Roman Regular" w:hAnsi="Times New Roman Regular"/>
                <w:kern w:val="0"/>
              </w:rPr>
            </w:pPr>
            <w:r>
              <w:rPr>
                <w:rFonts w:ascii="Times New Roman Regular" w:hAnsi="Times New Roman Regular"/>
                <w:color w:val="000000"/>
                <w:kern w:val="0"/>
              </w:rPr>
              <w:t>2.92 (2.7)</w:t>
            </w:r>
          </w:p>
        </w:tc>
      </w:tr>
      <w:tr w14:paraId="077FEF8E">
        <w:tc>
          <w:tcPr>
            <w:tcW w:w="2314" w:type="dxa"/>
            <w:tcBorders>
              <w:top w:val="nil"/>
              <w:left w:val="nil"/>
              <w:bottom w:val="nil"/>
              <w:right w:val="nil"/>
            </w:tcBorders>
            <w:vAlign w:val="center"/>
          </w:tcPr>
          <w:p w14:paraId="34C7F47E">
            <w:pPr>
              <w:widowControl/>
              <w:jc w:val="left"/>
              <w:textAlignment w:val="center"/>
              <w:rPr>
                <w:rFonts w:ascii="Times New Roman Regular" w:hAnsi="Times New Roman Regular"/>
                <w:kern w:val="0"/>
              </w:rPr>
            </w:pPr>
            <w:r>
              <w:rPr>
                <w:rFonts w:ascii="Times New Roman Regular" w:hAnsi="Times New Roman Regular"/>
                <w:color w:val="000000"/>
                <w:kern w:val="0"/>
              </w:rPr>
              <w:t>Malignant neoplasm progression</w:t>
            </w:r>
          </w:p>
        </w:tc>
        <w:tc>
          <w:tcPr>
            <w:tcW w:w="4034" w:type="dxa"/>
            <w:tcBorders>
              <w:top w:val="nil"/>
              <w:left w:val="nil"/>
              <w:bottom w:val="nil"/>
              <w:right w:val="nil"/>
            </w:tcBorders>
            <w:vAlign w:val="center"/>
          </w:tcPr>
          <w:p w14:paraId="75FB54BF">
            <w:pPr>
              <w:widowControl/>
              <w:jc w:val="left"/>
              <w:textAlignment w:val="center"/>
              <w:rPr>
                <w:rFonts w:ascii="Times New Roman Regular" w:hAnsi="Times New Roman Regular"/>
                <w:kern w:val="0"/>
              </w:rPr>
            </w:pPr>
            <w:r>
              <w:rPr>
                <w:rFonts w:ascii="Times New Roman Regular" w:hAnsi="Times New Roman Regular"/>
                <w:color w:val="000000"/>
                <w:kern w:val="0"/>
              </w:rPr>
              <w:t>Neoplasms benign, malignant and unspecified (incl cysts and polyps)</w:t>
            </w:r>
          </w:p>
        </w:tc>
        <w:tc>
          <w:tcPr>
            <w:tcW w:w="1166" w:type="dxa"/>
            <w:tcBorders>
              <w:top w:val="nil"/>
              <w:left w:val="nil"/>
              <w:bottom w:val="nil"/>
              <w:right w:val="nil"/>
            </w:tcBorders>
            <w:vAlign w:val="center"/>
          </w:tcPr>
          <w:p w14:paraId="45EF0E76">
            <w:pPr>
              <w:widowControl/>
              <w:jc w:val="center"/>
              <w:textAlignment w:val="center"/>
              <w:rPr>
                <w:rFonts w:ascii="Times New Roman Regular" w:hAnsi="Times New Roman Regular"/>
                <w:kern w:val="0"/>
              </w:rPr>
            </w:pPr>
            <w:r>
              <w:rPr>
                <w:rFonts w:ascii="Times New Roman Regular" w:hAnsi="Times New Roman Regular"/>
                <w:color w:val="000000"/>
                <w:kern w:val="0"/>
              </w:rPr>
              <w:t>648</w:t>
            </w:r>
          </w:p>
        </w:tc>
        <w:tc>
          <w:tcPr>
            <w:tcW w:w="1913" w:type="dxa"/>
            <w:tcBorders>
              <w:top w:val="nil"/>
              <w:left w:val="nil"/>
              <w:bottom w:val="nil"/>
              <w:right w:val="nil"/>
            </w:tcBorders>
            <w:vAlign w:val="center"/>
          </w:tcPr>
          <w:p w14:paraId="7F0A8E12">
            <w:pPr>
              <w:widowControl/>
              <w:jc w:val="center"/>
              <w:textAlignment w:val="center"/>
              <w:rPr>
                <w:rFonts w:ascii="Times New Roman Regular" w:hAnsi="Times New Roman Regular"/>
                <w:kern w:val="0"/>
              </w:rPr>
            </w:pPr>
            <w:r>
              <w:rPr>
                <w:rFonts w:ascii="Times New Roman Regular" w:hAnsi="Times New Roman Regular"/>
                <w:color w:val="000000"/>
                <w:kern w:val="0"/>
              </w:rPr>
              <w:t>6.42 (5.93-6.94)</w:t>
            </w:r>
          </w:p>
        </w:tc>
        <w:tc>
          <w:tcPr>
            <w:tcW w:w="1982" w:type="dxa"/>
            <w:tcBorders>
              <w:top w:val="nil"/>
              <w:left w:val="nil"/>
              <w:bottom w:val="nil"/>
              <w:right w:val="nil"/>
            </w:tcBorders>
            <w:vAlign w:val="center"/>
          </w:tcPr>
          <w:p w14:paraId="52F93423">
            <w:pPr>
              <w:widowControl/>
              <w:jc w:val="center"/>
              <w:textAlignment w:val="center"/>
              <w:rPr>
                <w:rFonts w:ascii="Times New Roman Regular" w:hAnsi="Times New Roman Regular"/>
                <w:kern w:val="0"/>
              </w:rPr>
            </w:pPr>
            <w:r>
              <w:rPr>
                <w:rFonts w:ascii="Times New Roman Regular" w:hAnsi="Times New Roman Regular"/>
                <w:color w:val="000000"/>
                <w:kern w:val="0"/>
              </w:rPr>
              <w:t>6.29 (5.82-6.79)</w:t>
            </w:r>
          </w:p>
        </w:tc>
        <w:tc>
          <w:tcPr>
            <w:tcW w:w="1322" w:type="dxa"/>
            <w:tcBorders>
              <w:top w:val="nil"/>
              <w:left w:val="nil"/>
              <w:bottom w:val="nil"/>
              <w:right w:val="nil"/>
            </w:tcBorders>
            <w:vAlign w:val="center"/>
          </w:tcPr>
          <w:p w14:paraId="3D51F643">
            <w:pPr>
              <w:widowControl/>
              <w:jc w:val="center"/>
              <w:textAlignment w:val="center"/>
              <w:rPr>
                <w:rFonts w:ascii="Times New Roman Regular" w:hAnsi="Times New Roman Regular"/>
                <w:kern w:val="0"/>
              </w:rPr>
            </w:pPr>
            <w:r>
              <w:rPr>
                <w:rFonts w:ascii="Times New Roman Regular" w:hAnsi="Times New Roman Regular"/>
                <w:color w:val="000000"/>
                <w:kern w:val="0"/>
              </w:rPr>
              <w:t>2.63 (2.37)</w:t>
            </w:r>
          </w:p>
        </w:tc>
        <w:tc>
          <w:tcPr>
            <w:tcW w:w="1443" w:type="dxa"/>
            <w:tcBorders>
              <w:top w:val="nil"/>
              <w:left w:val="nil"/>
              <w:bottom w:val="nil"/>
              <w:right w:val="nil"/>
            </w:tcBorders>
            <w:vAlign w:val="center"/>
          </w:tcPr>
          <w:p w14:paraId="0C613020">
            <w:pPr>
              <w:widowControl/>
              <w:jc w:val="center"/>
              <w:textAlignment w:val="center"/>
              <w:rPr>
                <w:rFonts w:ascii="Times New Roman Regular" w:hAnsi="Times New Roman Regular"/>
                <w:kern w:val="0"/>
              </w:rPr>
            </w:pPr>
            <w:r>
              <w:rPr>
                <w:rFonts w:ascii="Times New Roman Regular" w:hAnsi="Times New Roman Regular"/>
                <w:color w:val="000000"/>
                <w:kern w:val="0"/>
              </w:rPr>
              <w:t>6.19 (5.73)</w:t>
            </w:r>
          </w:p>
        </w:tc>
      </w:tr>
      <w:tr w14:paraId="6F75768F">
        <w:tc>
          <w:tcPr>
            <w:tcW w:w="2314" w:type="dxa"/>
            <w:tcBorders>
              <w:top w:val="nil"/>
              <w:left w:val="nil"/>
              <w:bottom w:val="nil"/>
              <w:right w:val="nil"/>
            </w:tcBorders>
            <w:vAlign w:val="center"/>
          </w:tcPr>
          <w:p w14:paraId="5215C957">
            <w:pPr>
              <w:widowControl/>
              <w:jc w:val="left"/>
              <w:textAlignment w:val="center"/>
              <w:rPr>
                <w:rFonts w:ascii="Times New Roman Regular" w:hAnsi="Times New Roman Regular"/>
                <w:kern w:val="0"/>
              </w:rPr>
            </w:pPr>
            <w:r>
              <w:rPr>
                <w:rFonts w:ascii="Times New Roman Regular" w:hAnsi="Times New Roman Regular"/>
                <w:color w:val="000000"/>
                <w:kern w:val="0"/>
              </w:rPr>
              <w:t>Acne#</w:t>
            </w:r>
          </w:p>
        </w:tc>
        <w:tc>
          <w:tcPr>
            <w:tcW w:w="4034" w:type="dxa"/>
            <w:tcBorders>
              <w:top w:val="nil"/>
              <w:left w:val="nil"/>
              <w:bottom w:val="nil"/>
              <w:right w:val="nil"/>
            </w:tcBorders>
            <w:vAlign w:val="center"/>
          </w:tcPr>
          <w:p w14:paraId="28D9F5A2">
            <w:pPr>
              <w:widowControl/>
              <w:jc w:val="left"/>
              <w:textAlignment w:val="center"/>
              <w:rPr>
                <w:rFonts w:ascii="Times New Roman Regular" w:hAnsi="Times New Roman Regular"/>
                <w:kern w:val="0"/>
              </w:rPr>
            </w:pPr>
            <w:r>
              <w:rPr>
                <w:rFonts w:ascii="Times New Roman Regular" w:hAnsi="Times New Roman Regular"/>
                <w:color w:val="000000"/>
                <w:kern w:val="0"/>
              </w:rPr>
              <w:t>Skin and subcutaneous tissue disorders#</w:t>
            </w:r>
          </w:p>
        </w:tc>
        <w:tc>
          <w:tcPr>
            <w:tcW w:w="1166" w:type="dxa"/>
            <w:tcBorders>
              <w:top w:val="nil"/>
              <w:left w:val="nil"/>
              <w:bottom w:val="nil"/>
              <w:right w:val="nil"/>
            </w:tcBorders>
            <w:vAlign w:val="center"/>
          </w:tcPr>
          <w:p w14:paraId="4CB11853">
            <w:pPr>
              <w:widowControl/>
              <w:jc w:val="center"/>
              <w:textAlignment w:val="center"/>
              <w:rPr>
                <w:rFonts w:ascii="Times New Roman Regular" w:hAnsi="Times New Roman Regular"/>
                <w:kern w:val="0"/>
              </w:rPr>
            </w:pPr>
            <w:r>
              <w:rPr>
                <w:rFonts w:ascii="Times New Roman Regular" w:hAnsi="Times New Roman Regular"/>
                <w:color w:val="000000"/>
                <w:kern w:val="0"/>
              </w:rPr>
              <w:t>473</w:t>
            </w:r>
          </w:p>
        </w:tc>
        <w:tc>
          <w:tcPr>
            <w:tcW w:w="1913" w:type="dxa"/>
            <w:tcBorders>
              <w:top w:val="nil"/>
              <w:left w:val="nil"/>
              <w:bottom w:val="nil"/>
              <w:right w:val="nil"/>
            </w:tcBorders>
            <w:vAlign w:val="center"/>
          </w:tcPr>
          <w:p w14:paraId="40FF0523">
            <w:pPr>
              <w:widowControl/>
              <w:jc w:val="center"/>
              <w:textAlignment w:val="center"/>
              <w:rPr>
                <w:rFonts w:ascii="Times New Roman Regular" w:hAnsi="Times New Roman Regular"/>
                <w:kern w:val="0"/>
              </w:rPr>
            </w:pPr>
            <w:r>
              <w:rPr>
                <w:rFonts w:ascii="Times New Roman Regular" w:hAnsi="Times New Roman Regular"/>
                <w:color w:val="000000"/>
                <w:kern w:val="0"/>
              </w:rPr>
              <w:t>12.72 (11.6-13.96)</w:t>
            </w:r>
          </w:p>
        </w:tc>
        <w:tc>
          <w:tcPr>
            <w:tcW w:w="1982" w:type="dxa"/>
            <w:tcBorders>
              <w:top w:val="nil"/>
              <w:left w:val="nil"/>
              <w:bottom w:val="nil"/>
              <w:right w:val="nil"/>
            </w:tcBorders>
            <w:vAlign w:val="center"/>
          </w:tcPr>
          <w:p w14:paraId="1274F984">
            <w:pPr>
              <w:widowControl/>
              <w:jc w:val="center"/>
              <w:textAlignment w:val="center"/>
              <w:rPr>
                <w:rFonts w:ascii="Times New Roman Regular" w:hAnsi="Times New Roman Regular"/>
                <w:kern w:val="0"/>
              </w:rPr>
            </w:pPr>
            <w:r>
              <w:rPr>
                <w:rFonts w:ascii="Times New Roman Regular" w:hAnsi="Times New Roman Regular"/>
                <w:color w:val="000000"/>
                <w:kern w:val="0"/>
              </w:rPr>
              <w:t>12.52 (11.43-13.71)</w:t>
            </w:r>
          </w:p>
        </w:tc>
        <w:tc>
          <w:tcPr>
            <w:tcW w:w="1322" w:type="dxa"/>
            <w:tcBorders>
              <w:top w:val="nil"/>
              <w:left w:val="nil"/>
              <w:bottom w:val="nil"/>
              <w:right w:val="nil"/>
            </w:tcBorders>
            <w:vAlign w:val="center"/>
          </w:tcPr>
          <w:p w14:paraId="2C9502B6">
            <w:pPr>
              <w:widowControl/>
              <w:jc w:val="center"/>
              <w:textAlignment w:val="center"/>
              <w:rPr>
                <w:rFonts w:ascii="Times New Roman Regular" w:hAnsi="Times New Roman Regular"/>
                <w:kern w:val="0"/>
              </w:rPr>
            </w:pPr>
            <w:r>
              <w:rPr>
                <w:rFonts w:ascii="Times New Roman Regular" w:hAnsi="Times New Roman Regular"/>
                <w:color w:val="000000"/>
                <w:kern w:val="0"/>
              </w:rPr>
              <w:t>3.6 (3.29)</w:t>
            </w:r>
          </w:p>
        </w:tc>
        <w:tc>
          <w:tcPr>
            <w:tcW w:w="1443" w:type="dxa"/>
            <w:tcBorders>
              <w:top w:val="nil"/>
              <w:left w:val="nil"/>
              <w:bottom w:val="nil"/>
              <w:right w:val="nil"/>
            </w:tcBorders>
            <w:vAlign w:val="center"/>
          </w:tcPr>
          <w:p w14:paraId="6B95DE13">
            <w:pPr>
              <w:widowControl/>
              <w:jc w:val="center"/>
              <w:textAlignment w:val="center"/>
              <w:rPr>
                <w:rFonts w:ascii="Times New Roman Regular" w:hAnsi="Times New Roman Regular"/>
                <w:kern w:val="0"/>
              </w:rPr>
            </w:pPr>
            <w:r>
              <w:rPr>
                <w:rFonts w:ascii="Times New Roman Regular" w:hAnsi="Times New Roman Regular"/>
                <w:color w:val="000000"/>
                <w:kern w:val="0"/>
              </w:rPr>
              <w:t>12.11 (11.04)</w:t>
            </w:r>
          </w:p>
        </w:tc>
      </w:tr>
      <w:tr w14:paraId="0C579489">
        <w:tc>
          <w:tcPr>
            <w:tcW w:w="2314" w:type="dxa"/>
            <w:tcBorders>
              <w:top w:val="nil"/>
              <w:left w:val="nil"/>
              <w:bottom w:val="nil"/>
              <w:right w:val="nil"/>
            </w:tcBorders>
            <w:vAlign w:val="center"/>
          </w:tcPr>
          <w:p w14:paraId="08524F4D">
            <w:pPr>
              <w:widowControl/>
              <w:jc w:val="left"/>
              <w:textAlignment w:val="center"/>
              <w:rPr>
                <w:rFonts w:ascii="Times New Roman Regular" w:hAnsi="Times New Roman Regular"/>
                <w:kern w:val="0"/>
              </w:rPr>
            </w:pPr>
            <w:r>
              <w:rPr>
                <w:rFonts w:ascii="Times New Roman Regular" w:hAnsi="Times New Roman Regular"/>
                <w:color w:val="000000"/>
                <w:kern w:val="0"/>
              </w:rPr>
              <w:t>Lung neoplasm malignant#</w:t>
            </w:r>
          </w:p>
        </w:tc>
        <w:tc>
          <w:tcPr>
            <w:tcW w:w="4034" w:type="dxa"/>
            <w:tcBorders>
              <w:top w:val="nil"/>
              <w:left w:val="nil"/>
              <w:bottom w:val="nil"/>
              <w:right w:val="nil"/>
            </w:tcBorders>
            <w:vAlign w:val="center"/>
          </w:tcPr>
          <w:p w14:paraId="58B9007B">
            <w:pPr>
              <w:widowControl/>
              <w:jc w:val="left"/>
              <w:textAlignment w:val="center"/>
              <w:rPr>
                <w:rFonts w:ascii="Times New Roman Regular" w:hAnsi="Times New Roman Regular"/>
                <w:kern w:val="0"/>
              </w:rPr>
            </w:pPr>
            <w:r>
              <w:rPr>
                <w:rFonts w:ascii="Times New Roman Regular" w:hAnsi="Times New Roman Regular"/>
                <w:color w:val="000000"/>
                <w:kern w:val="0"/>
              </w:rPr>
              <w:t>Respiratory, thoracic and mediastinal disorders#</w:t>
            </w:r>
          </w:p>
        </w:tc>
        <w:tc>
          <w:tcPr>
            <w:tcW w:w="1166" w:type="dxa"/>
            <w:tcBorders>
              <w:top w:val="nil"/>
              <w:left w:val="nil"/>
              <w:bottom w:val="nil"/>
              <w:right w:val="nil"/>
            </w:tcBorders>
            <w:vAlign w:val="center"/>
          </w:tcPr>
          <w:p w14:paraId="4C5461C6">
            <w:pPr>
              <w:widowControl/>
              <w:jc w:val="center"/>
              <w:textAlignment w:val="center"/>
              <w:rPr>
                <w:rFonts w:ascii="Times New Roman Regular" w:hAnsi="Times New Roman Regular"/>
                <w:kern w:val="0"/>
              </w:rPr>
            </w:pPr>
            <w:r>
              <w:rPr>
                <w:rFonts w:ascii="Times New Roman Regular" w:hAnsi="Times New Roman Regular"/>
                <w:color w:val="000000"/>
                <w:kern w:val="0"/>
              </w:rPr>
              <w:t>328</w:t>
            </w:r>
          </w:p>
        </w:tc>
        <w:tc>
          <w:tcPr>
            <w:tcW w:w="1913" w:type="dxa"/>
            <w:tcBorders>
              <w:top w:val="nil"/>
              <w:left w:val="nil"/>
              <w:bottom w:val="nil"/>
              <w:right w:val="nil"/>
            </w:tcBorders>
            <w:vAlign w:val="center"/>
          </w:tcPr>
          <w:p w14:paraId="5C37C2C4">
            <w:pPr>
              <w:widowControl/>
              <w:jc w:val="center"/>
              <w:textAlignment w:val="center"/>
              <w:rPr>
                <w:rFonts w:ascii="Times New Roman Regular" w:hAnsi="Times New Roman Regular"/>
                <w:kern w:val="0"/>
              </w:rPr>
            </w:pPr>
            <w:r>
              <w:rPr>
                <w:rFonts w:ascii="Times New Roman Regular" w:hAnsi="Times New Roman Regular"/>
                <w:color w:val="000000"/>
                <w:kern w:val="0"/>
              </w:rPr>
              <w:t>5.13 (4.59-5.72)</w:t>
            </w:r>
          </w:p>
        </w:tc>
        <w:tc>
          <w:tcPr>
            <w:tcW w:w="1982" w:type="dxa"/>
            <w:tcBorders>
              <w:top w:val="nil"/>
              <w:left w:val="nil"/>
              <w:bottom w:val="nil"/>
              <w:right w:val="nil"/>
            </w:tcBorders>
            <w:vAlign w:val="center"/>
          </w:tcPr>
          <w:p w14:paraId="6237D13D">
            <w:pPr>
              <w:widowControl/>
              <w:jc w:val="center"/>
              <w:textAlignment w:val="center"/>
              <w:rPr>
                <w:rFonts w:ascii="Times New Roman Regular" w:hAnsi="Times New Roman Regular"/>
                <w:kern w:val="0"/>
              </w:rPr>
            </w:pPr>
            <w:r>
              <w:rPr>
                <w:rFonts w:ascii="Times New Roman Regular" w:hAnsi="Times New Roman Regular"/>
                <w:color w:val="000000"/>
                <w:kern w:val="0"/>
              </w:rPr>
              <w:t>5.08 (4.56-5.66)</w:t>
            </w:r>
          </w:p>
        </w:tc>
        <w:tc>
          <w:tcPr>
            <w:tcW w:w="1322" w:type="dxa"/>
            <w:tcBorders>
              <w:top w:val="nil"/>
              <w:left w:val="nil"/>
              <w:bottom w:val="nil"/>
              <w:right w:val="nil"/>
            </w:tcBorders>
            <w:vAlign w:val="center"/>
          </w:tcPr>
          <w:p w14:paraId="1262EA8D">
            <w:pPr>
              <w:widowControl/>
              <w:jc w:val="center"/>
              <w:textAlignment w:val="center"/>
              <w:rPr>
                <w:rFonts w:ascii="Times New Roman Regular" w:hAnsi="Times New Roman Regular"/>
                <w:kern w:val="0"/>
              </w:rPr>
            </w:pPr>
            <w:r>
              <w:rPr>
                <w:rFonts w:ascii="Times New Roman Regular" w:hAnsi="Times New Roman Regular"/>
                <w:color w:val="000000"/>
                <w:kern w:val="0"/>
              </w:rPr>
              <w:t>2.33 (1.96)</w:t>
            </w:r>
          </w:p>
        </w:tc>
        <w:tc>
          <w:tcPr>
            <w:tcW w:w="1443" w:type="dxa"/>
            <w:tcBorders>
              <w:top w:val="nil"/>
              <w:left w:val="nil"/>
              <w:bottom w:val="nil"/>
              <w:right w:val="nil"/>
            </w:tcBorders>
            <w:vAlign w:val="center"/>
          </w:tcPr>
          <w:p w14:paraId="77CCF172">
            <w:pPr>
              <w:widowControl/>
              <w:jc w:val="center"/>
              <w:textAlignment w:val="center"/>
              <w:rPr>
                <w:rFonts w:ascii="Times New Roman Regular" w:hAnsi="Times New Roman Regular"/>
                <w:kern w:val="0"/>
              </w:rPr>
            </w:pPr>
            <w:r>
              <w:rPr>
                <w:rFonts w:ascii="Times New Roman Regular" w:hAnsi="Times New Roman Regular"/>
                <w:color w:val="000000"/>
                <w:kern w:val="0"/>
              </w:rPr>
              <w:t>5.02 (4.5)</w:t>
            </w:r>
          </w:p>
        </w:tc>
      </w:tr>
      <w:tr w14:paraId="342244B9">
        <w:tc>
          <w:tcPr>
            <w:tcW w:w="2314" w:type="dxa"/>
            <w:tcBorders>
              <w:top w:val="nil"/>
              <w:left w:val="nil"/>
              <w:bottom w:val="nil"/>
              <w:right w:val="nil"/>
            </w:tcBorders>
            <w:vAlign w:val="center"/>
          </w:tcPr>
          <w:p w14:paraId="16E9F176">
            <w:pPr>
              <w:widowControl/>
              <w:jc w:val="left"/>
              <w:textAlignment w:val="center"/>
              <w:rPr>
                <w:rFonts w:ascii="Times New Roman Regular" w:hAnsi="Times New Roman Regular"/>
                <w:kern w:val="0"/>
              </w:rPr>
            </w:pPr>
            <w:r>
              <w:rPr>
                <w:rFonts w:ascii="Times New Roman Regular" w:hAnsi="Times New Roman Regular"/>
                <w:color w:val="000000"/>
                <w:kern w:val="0"/>
              </w:rPr>
              <w:t>Neoplasm malignant</w:t>
            </w:r>
          </w:p>
        </w:tc>
        <w:tc>
          <w:tcPr>
            <w:tcW w:w="4034" w:type="dxa"/>
            <w:tcBorders>
              <w:top w:val="nil"/>
              <w:left w:val="nil"/>
              <w:bottom w:val="nil"/>
              <w:right w:val="nil"/>
            </w:tcBorders>
            <w:vAlign w:val="center"/>
          </w:tcPr>
          <w:p w14:paraId="27E0FD5B">
            <w:pPr>
              <w:widowControl/>
              <w:jc w:val="left"/>
              <w:textAlignment w:val="center"/>
              <w:rPr>
                <w:rFonts w:ascii="Times New Roman Regular" w:hAnsi="Times New Roman Regular"/>
                <w:kern w:val="0"/>
              </w:rPr>
            </w:pPr>
            <w:r>
              <w:rPr>
                <w:rFonts w:ascii="Times New Roman Regular" w:hAnsi="Times New Roman Regular"/>
                <w:color w:val="000000"/>
                <w:kern w:val="0"/>
              </w:rPr>
              <w:t>Neoplasms benign, malignant and unspecified (incl cysts and polyps)</w:t>
            </w:r>
          </w:p>
        </w:tc>
        <w:tc>
          <w:tcPr>
            <w:tcW w:w="1166" w:type="dxa"/>
            <w:tcBorders>
              <w:top w:val="nil"/>
              <w:left w:val="nil"/>
              <w:bottom w:val="nil"/>
              <w:right w:val="nil"/>
            </w:tcBorders>
            <w:vAlign w:val="center"/>
          </w:tcPr>
          <w:p w14:paraId="7D645C74">
            <w:pPr>
              <w:widowControl/>
              <w:jc w:val="center"/>
              <w:textAlignment w:val="center"/>
              <w:rPr>
                <w:rFonts w:ascii="Times New Roman Regular" w:hAnsi="Times New Roman Regular"/>
                <w:kern w:val="0"/>
              </w:rPr>
            </w:pPr>
            <w:r>
              <w:rPr>
                <w:rFonts w:ascii="Times New Roman Regular" w:hAnsi="Times New Roman Regular"/>
                <w:color w:val="000000"/>
                <w:kern w:val="0"/>
              </w:rPr>
              <w:t>321</w:t>
            </w:r>
          </w:p>
        </w:tc>
        <w:tc>
          <w:tcPr>
            <w:tcW w:w="1913" w:type="dxa"/>
            <w:tcBorders>
              <w:top w:val="nil"/>
              <w:left w:val="nil"/>
              <w:bottom w:val="nil"/>
              <w:right w:val="nil"/>
            </w:tcBorders>
            <w:vAlign w:val="center"/>
          </w:tcPr>
          <w:p w14:paraId="0E3BCA86">
            <w:pPr>
              <w:widowControl/>
              <w:jc w:val="center"/>
              <w:textAlignment w:val="center"/>
              <w:rPr>
                <w:rFonts w:ascii="Times New Roman Regular" w:hAnsi="Times New Roman Regular"/>
                <w:kern w:val="0"/>
              </w:rPr>
            </w:pPr>
            <w:r>
              <w:rPr>
                <w:rFonts w:ascii="Times New Roman Regular" w:hAnsi="Times New Roman Regular"/>
                <w:color w:val="000000"/>
                <w:kern w:val="0"/>
              </w:rPr>
              <w:t>3.09 (2.77-3.46)</w:t>
            </w:r>
          </w:p>
        </w:tc>
        <w:tc>
          <w:tcPr>
            <w:tcW w:w="1982" w:type="dxa"/>
            <w:tcBorders>
              <w:top w:val="nil"/>
              <w:left w:val="nil"/>
              <w:bottom w:val="nil"/>
              <w:right w:val="nil"/>
            </w:tcBorders>
            <w:vAlign w:val="center"/>
          </w:tcPr>
          <w:p w14:paraId="26D53E3D">
            <w:pPr>
              <w:widowControl/>
              <w:jc w:val="center"/>
              <w:textAlignment w:val="center"/>
              <w:rPr>
                <w:rFonts w:ascii="Times New Roman Regular" w:hAnsi="Times New Roman Regular"/>
                <w:kern w:val="0"/>
              </w:rPr>
            </w:pPr>
            <w:r>
              <w:rPr>
                <w:rFonts w:ascii="Times New Roman Regular" w:hAnsi="Times New Roman Regular"/>
                <w:color w:val="000000"/>
                <w:kern w:val="0"/>
              </w:rPr>
              <w:t>3.07 (2.75-3.42)</w:t>
            </w:r>
          </w:p>
        </w:tc>
        <w:tc>
          <w:tcPr>
            <w:tcW w:w="1322" w:type="dxa"/>
            <w:tcBorders>
              <w:top w:val="nil"/>
              <w:left w:val="nil"/>
              <w:bottom w:val="nil"/>
              <w:right w:val="nil"/>
            </w:tcBorders>
            <w:vAlign w:val="center"/>
          </w:tcPr>
          <w:p w14:paraId="5DC16F8B">
            <w:pPr>
              <w:widowControl/>
              <w:jc w:val="center"/>
              <w:textAlignment w:val="center"/>
              <w:rPr>
                <w:rFonts w:ascii="Times New Roman Regular" w:hAnsi="Times New Roman Regular"/>
                <w:kern w:val="0"/>
              </w:rPr>
            </w:pPr>
            <w:r>
              <w:rPr>
                <w:rFonts w:ascii="Times New Roman Regular" w:hAnsi="Times New Roman Regular"/>
                <w:color w:val="000000"/>
                <w:kern w:val="0"/>
              </w:rPr>
              <w:t>1.61 (1.24)</w:t>
            </w:r>
          </w:p>
        </w:tc>
        <w:tc>
          <w:tcPr>
            <w:tcW w:w="1443" w:type="dxa"/>
            <w:tcBorders>
              <w:top w:val="nil"/>
              <w:left w:val="nil"/>
              <w:bottom w:val="nil"/>
              <w:right w:val="nil"/>
            </w:tcBorders>
            <w:vAlign w:val="center"/>
          </w:tcPr>
          <w:p w14:paraId="60E108FA">
            <w:pPr>
              <w:widowControl/>
              <w:jc w:val="center"/>
              <w:textAlignment w:val="center"/>
              <w:rPr>
                <w:rFonts w:ascii="Times New Roman Regular" w:hAnsi="Times New Roman Regular"/>
                <w:kern w:val="0"/>
              </w:rPr>
            </w:pPr>
            <w:r>
              <w:rPr>
                <w:rFonts w:ascii="Times New Roman Regular" w:hAnsi="Times New Roman Regular"/>
                <w:color w:val="000000"/>
                <w:kern w:val="0"/>
              </w:rPr>
              <w:t>3.05 (2.73)</w:t>
            </w:r>
          </w:p>
        </w:tc>
      </w:tr>
      <w:tr w14:paraId="1A2D5B89">
        <w:tc>
          <w:tcPr>
            <w:tcW w:w="2314" w:type="dxa"/>
            <w:tcBorders>
              <w:top w:val="nil"/>
              <w:left w:val="nil"/>
              <w:bottom w:val="nil"/>
              <w:right w:val="nil"/>
            </w:tcBorders>
            <w:vAlign w:val="center"/>
          </w:tcPr>
          <w:p w14:paraId="21B3483F">
            <w:pPr>
              <w:widowControl/>
              <w:jc w:val="left"/>
              <w:textAlignment w:val="center"/>
              <w:rPr>
                <w:rFonts w:ascii="Times New Roman Regular" w:hAnsi="Times New Roman Regular"/>
                <w:kern w:val="0"/>
              </w:rPr>
            </w:pPr>
            <w:r>
              <w:rPr>
                <w:rFonts w:ascii="Times New Roman Regular" w:hAnsi="Times New Roman Regular"/>
                <w:color w:val="000000"/>
                <w:kern w:val="0"/>
              </w:rPr>
              <w:t>Dehydration#</w:t>
            </w:r>
          </w:p>
        </w:tc>
        <w:tc>
          <w:tcPr>
            <w:tcW w:w="4034" w:type="dxa"/>
            <w:tcBorders>
              <w:top w:val="nil"/>
              <w:left w:val="nil"/>
              <w:bottom w:val="nil"/>
              <w:right w:val="nil"/>
            </w:tcBorders>
            <w:vAlign w:val="center"/>
          </w:tcPr>
          <w:p w14:paraId="75E766F6">
            <w:pPr>
              <w:widowControl/>
              <w:jc w:val="left"/>
              <w:textAlignment w:val="center"/>
              <w:rPr>
                <w:rFonts w:ascii="Times New Roman Regular" w:hAnsi="Times New Roman Regular"/>
                <w:kern w:val="0"/>
              </w:rPr>
            </w:pPr>
            <w:r>
              <w:rPr>
                <w:rFonts w:ascii="Times New Roman Regular" w:hAnsi="Times New Roman Regular"/>
                <w:color w:val="000000"/>
                <w:kern w:val="0"/>
              </w:rPr>
              <w:t>Metabolism and nutrition disorders#</w:t>
            </w:r>
          </w:p>
        </w:tc>
        <w:tc>
          <w:tcPr>
            <w:tcW w:w="1166" w:type="dxa"/>
            <w:tcBorders>
              <w:top w:val="nil"/>
              <w:left w:val="nil"/>
              <w:bottom w:val="nil"/>
              <w:right w:val="nil"/>
            </w:tcBorders>
            <w:vAlign w:val="center"/>
          </w:tcPr>
          <w:p w14:paraId="4965CF8C">
            <w:pPr>
              <w:widowControl/>
              <w:jc w:val="center"/>
              <w:textAlignment w:val="center"/>
              <w:rPr>
                <w:rFonts w:ascii="Times New Roman Regular" w:hAnsi="Times New Roman Regular"/>
                <w:kern w:val="0"/>
              </w:rPr>
            </w:pPr>
            <w:r>
              <w:rPr>
                <w:rFonts w:ascii="Times New Roman Regular" w:hAnsi="Times New Roman Regular"/>
                <w:color w:val="000000"/>
                <w:kern w:val="0"/>
              </w:rPr>
              <w:t>315</w:t>
            </w:r>
          </w:p>
        </w:tc>
        <w:tc>
          <w:tcPr>
            <w:tcW w:w="1913" w:type="dxa"/>
            <w:tcBorders>
              <w:top w:val="nil"/>
              <w:left w:val="nil"/>
              <w:bottom w:val="nil"/>
              <w:right w:val="nil"/>
            </w:tcBorders>
            <w:vAlign w:val="center"/>
          </w:tcPr>
          <w:p w14:paraId="61D80227">
            <w:pPr>
              <w:widowControl/>
              <w:jc w:val="center"/>
              <w:textAlignment w:val="center"/>
              <w:rPr>
                <w:rFonts w:ascii="Times New Roman Regular" w:hAnsi="Times New Roman Regular"/>
                <w:kern w:val="0"/>
              </w:rPr>
            </w:pPr>
            <w:r>
              <w:rPr>
                <w:rFonts w:ascii="Times New Roman Regular" w:hAnsi="Times New Roman Regular"/>
                <w:color w:val="000000"/>
                <w:kern w:val="0"/>
              </w:rPr>
              <w:t>2.33 (2.09-2.61)</w:t>
            </w:r>
          </w:p>
        </w:tc>
        <w:tc>
          <w:tcPr>
            <w:tcW w:w="1982" w:type="dxa"/>
            <w:tcBorders>
              <w:top w:val="nil"/>
              <w:left w:val="nil"/>
              <w:bottom w:val="nil"/>
              <w:right w:val="nil"/>
            </w:tcBorders>
            <w:vAlign w:val="center"/>
          </w:tcPr>
          <w:p w14:paraId="36D77945">
            <w:pPr>
              <w:widowControl/>
              <w:jc w:val="center"/>
              <w:textAlignment w:val="center"/>
              <w:rPr>
                <w:rFonts w:ascii="Times New Roman Regular" w:hAnsi="Times New Roman Regular"/>
                <w:kern w:val="0"/>
              </w:rPr>
            </w:pPr>
            <w:r>
              <w:rPr>
                <w:rFonts w:ascii="Times New Roman Regular" w:hAnsi="Times New Roman Regular"/>
                <w:color w:val="000000"/>
                <w:kern w:val="0"/>
              </w:rPr>
              <w:t>2.32 (2.07-2.59)</w:t>
            </w:r>
          </w:p>
        </w:tc>
        <w:tc>
          <w:tcPr>
            <w:tcW w:w="1322" w:type="dxa"/>
            <w:tcBorders>
              <w:top w:val="nil"/>
              <w:left w:val="nil"/>
              <w:bottom w:val="nil"/>
              <w:right w:val="nil"/>
            </w:tcBorders>
            <w:vAlign w:val="center"/>
          </w:tcPr>
          <w:p w14:paraId="03542383">
            <w:pPr>
              <w:widowControl/>
              <w:jc w:val="center"/>
              <w:textAlignment w:val="center"/>
              <w:rPr>
                <w:rFonts w:ascii="Times New Roman Regular" w:hAnsi="Times New Roman Regular"/>
                <w:kern w:val="0"/>
              </w:rPr>
            </w:pPr>
            <w:r>
              <w:rPr>
                <w:rFonts w:ascii="Times New Roman Regular" w:hAnsi="Times New Roman Regular"/>
                <w:color w:val="000000"/>
                <w:kern w:val="0"/>
              </w:rPr>
              <w:t>1.21 (0.83)</w:t>
            </w:r>
          </w:p>
        </w:tc>
        <w:tc>
          <w:tcPr>
            <w:tcW w:w="1443" w:type="dxa"/>
            <w:tcBorders>
              <w:top w:val="nil"/>
              <w:left w:val="nil"/>
              <w:bottom w:val="nil"/>
              <w:right w:val="nil"/>
            </w:tcBorders>
            <w:vAlign w:val="center"/>
          </w:tcPr>
          <w:p w14:paraId="4DE30B17">
            <w:pPr>
              <w:widowControl/>
              <w:jc w:val="center"/>
              <w:textAlignment w:val="center"/>
              <w:rPr>
                <w:rFonts w:ascii="Times New Roman Regular" w:hAnsi="Times New Roman Regular"/>
                <w:kern w:val="0"/>
              </w:rPr>
            </w:pPr>
            <w:r>
              <w:rPr>
                <w:rFonts w:ascii="Times New Roman Regular" w:hAnsi="Times New Roman Regular"/>
                <w:color w:val="000000"/>
                <w:kern w:val="0"/>
              </w:rPr>
              <w:t>2.31 (2.06)</w:t>
            </w:r>
          </w:p>
        </w:tc>
      </w:tr>
      <w:tr w14:paraId="12FB1A68">
        <w:tc>
          <w:tcPr>
            <w:tcW w:w="2314" w:type="dxa"/>
            <w:tcBorders>
              <w:top w:val="nil"/>
              <w:left w:val="nil"/>
              <w:bottom w:val="nil"/>
              <w:right w:val="nil"/>
            </w:tcBorders>
            <w:vAlign w:val="center"/>
          </w:tcPr>
          <w:p w14:paraId="591D49A5">
            <w:pPr>
              <w:widowControl/>
              <w:jc w:val="left"/>
              <w:textAlignment w:val="center"/>
              <w:rPr>
                <w:rFonts w:ascii="Times New Roman Regular" w:hAnsi="Times New Roman Regular"/>
                <w:kern w:val="0"/>
              </w:rPr>
            </w:pPr>
            <w:r>
              <w:rPr>
                <w:rFonts w:ascii="Times New Roman Regular" w:hAnsi="Times New Roman Regular"/>
                <w:color w:val="000000"/>
                <w:kern w:val="0"/>
              </w:rPr>
              <w:t>Stomatitis#</w:t>
            </w:r>
          </w:p>
        </w:tc>
        <w:tc>
          <w:tcPr>
            <w:tcW w:w="4034" w:type="dxa"/>
            <w:tcBorders>
              <w:top w:val="nil"/>
              <w:left w:val="nil"/>
              <w:bottom w:val="nil"/>
              <w:right w:val="nil"/>
            </w:tcBorders>
            <w:vAlign w:val="center"/>
          </w:tcPr>
          <w:p w14:paraId="539F2598">
            <w:pPr>
              <w:widowControl/>
              <w:jc w:val="left"/>
              <w:textAlignment w:val="center"/>
              <w:rPr>
                <w:rFonts w:ascii="Times New Roman Regular" w:hAnsi="Times New Roman Regular"/>
                <w:kern w:val="0"/>
              </w:rPr>
            </w:pPr>
            <w:r>
              <w:rPr>
                <w:rFonts w:ascii="Times New Roman Regular" w:hAnsi="Times New Roman Regular"/>
                <w:color w:val="000000"/>
                <w:kern w:val="0"/>
              </w:rPr>
              <w:t>Gastrointestinal disorders#</w:t>
            </w:r>
          </w:p>
        </w:tc>
        <w:tc>
          <w:tcPr>
            <w:tcW w:w="1166" w:type="dxa"/>
            <w:tcBorders>
              <w:top w:val="nil"/>
              <w:left w:val="nil"/>
              <w:bottom w:val="nil"/>
              <w:right w:val="nil"/>
            </w:tcBorders>
            <w:vAlign w:val="center"/>
          </w:tcPr>
          <w:p w14:paraId="1B720C37">
            <w:pPr>
              <w:widowControl/>
              <w:jc w:val="center"/>
              <w:textAlignment w:val="center"/>
              <w:rPr>
                <w:rFonts w:ascii="Times New Roman Regular" w:hAnsi="Times New Roman Regular"/>
                <w:kern w:val="0"/>
              </w:rPr>
            </w:pPr>
            <w:r>
              <w:rPr>
                <w:rFonts w:ascii="Times New Roman Regular" w:hAnsi="Times New Roman Regular"/>
                <w:color w:val="000000"/>
                <w:kern w:val="0"/>
              </w:rPr>
              <w:t>298</w:t>
            </w:r>
          </w:p>
        </w:tc>
        <w:tc>
          <w:tcPr>
            <w:tcW w:w="1913" w:type="dxa"/>
            <w:tcBorders>
              <w:top w:val="nil"/>
              <w:left w:val="nil"/>
              <w:bottom w:val="nil"/>
              <w:right w:val="nil"/>
            </w:tcBorders>
            <w:vAlign w:val="center"/>
          </w:tcPr>
          <w:p w14:paraId="014B6536">
            <w:pPr>
              <w:widowControl/>
              <w:jc w:val="center"/>
              <w:textAlignment w:val="center"/>
              <w:rPr>
                <w:rFonts w:ascii="Times New Roman Regular" w:hAnsi="Times New Roman Regular"/>
                <w:kern w:val="0"/>
              </w:rPr>
            </w:pPr>
            <w:r>
              <w:rPr>
                <w:rFonts w:ascii="Times New Roman Regular" w:hAnsi="Times New Roman Regular"/>
                <w:color w:val="000000"/>
                <w:kern w:val="0"/>
              </w:rPr>
              <w:t>5.15 (4.59-5.78)</w:t>
            </w:r>
          </w:p>
        </w:tc>
        <w:tc>
          <w:tcPr>
            <w:tcW w:w="1982" w:type="dxa"/>
            <w:tcBorders>
              <w:top w:val="nil"/>
              <w:left w:val="nil"/>
              <w:bottom w:val="nil"/>
              <w:right w:val="nil"/>
            </w:tcBorders>
            <w:vAlign w:val="center"/>
          </w:tcPr>
          <w:p w14:paraId="44768A2E">
            <w:pPr>
              <w:widowControl/>
              <w:jc w:val="center"/>
              <w:textAlignment w:val="center"/>
              <w:rPr>
                <w:rFonts w:ascii="Times New Roman Regular" w:hAnsi="Times New Roman Regular"/>
                <w:kern w:val="0"/>
              </w:rPr>
            </w:pPr>
            <w:r>
              <w:rPr>
                <w:rFonts w:ascii="Times New Roman Regular" w:hAnsi="Times New Roman Regular"/>
                <w:color w:val="000000"/>
                <w:kern w:val="0"/>
              </w:rPr>
              <w:t>5.1 (4.55-5.72)</w:t>
            </w:r>
          </w:p>
        </w:tc>
        <w:tc>
          <w:tcPr>
            <w:tcW w:w="1322" w:type="dxa"/>
            <w:tcBorders>
              <w:top w:val="nil"/>
              <w:left w:val="nil"/>
              <w:bottom w:val="nil"/>
              <w:right w:val="nil"/>
            </w:tcBorders>
            <w:vAlign w:val="center"/>
          </w:tcPr>
          <w:p w14:paraId="129FDE15">
            <w:pPr>
              <w:widowControl/>
              <w:jc w:val="center"/>
              <w:textAlignment w:val="center"/>
              <w:rPr>
                <w:rFonts w:ascii="Times New Roman Regular" w:hAnsi="Times New Roman Regular"/>
                <w:kern w:val="0"/>
              </w:rPr>
            </w:pPr>
            <w:r>
              <w:rPr>
                <w:rFonts w:ascii="Times New Roman Regular" w:hAnsi="Times New Roman Regular"/>
                <w:color w:val="000000"/>
                <w:kern w:val="0"/>
              </w:rPr>
              <w:t>2.33 (1.95)</w:t>
            </w:r>
          </w:p>
        </w:tc>
        <w:tc>
          <w:tcPr>
            <w:tcW w:w="1443" w:type="dxa"/>
            <w:tcBorders>
              <w:top w:val="nil"/>
              <w:left w:val="nil"/>
              <w:bottom w:val="nil"/>
              <w:right w:val="nil"/>
            </w:tcBorders>
            <w:vAlign w:val="center"/>
          </w:tcPr>
          <w:p w14:paraId="1A1782A1">
            <w:pPr>
              <w:widowControl/>
              <w:jc w:val="center"/>
              <w:textAlignment w:val="center"/>
              <w:rPr>
                <w:rFonts w:ascii="Times New Roman Regular" w:hAnsi="Times New Roman Regular"/>
                <w:kern w:val="0"/>
              </w:rPr>
            </w:pPr>
            <w:r>
              <w:rPr>
                <w:rFonts w:ascii="Times New Roman Regular" w:hAnsi="Times New Roman Regular"/>
                <w:color w:val="000000"/>
                <w:kern w:val="0"/>
              </w:rPr>
              <w:t>5.04 (4.49)</w:t>
            </w:r>
          </w:p>
        </w:tc>
      </w:tr>
      <w:tr w14:paraId="41D5D713">
        <w:tc>
          <w:tcPr>
            <w:tcW w:w="2314" w:type="dxa"/>
            <w:tcBorders>
              <w:top w:val="nil"/>
              <w:left w:val="nil"/>
              <w:bottom w:val="nil"/>
              <w:right w:val="nil"/>
            </w:tcBorders>
            <w:vAlign w:val="center"/>
          </w:tcPr>
          <w:p w14:paraId="4630B8EF">
            <w:pPr>
              <w:widowControl/>
              <w:jc w:val="left"/>
              <w:textAlignment w:val="center"/>
              <w:rPr>
                <w:rFonts w:ascii="Times New Roman Regular" w:hAnsi="Times New Roman Regular"/>
                <w:kern w:val="0"/>
              </w:rPr>
            </w:pPr>
            <w:r>
              <w:rPr>
                <w:rFonts w:ascii="Times New Roman Regular" w:hAnsi="Times New Roman Regular"/>
                <w:color w:val="000000"/>
                <w:kern w:val="0"/>
              </w:rPr>
              <w:t>Dermatitis acneiform#</w:t>
            </w:r>
          </w:p>
        </w:tc>
        <w:tc>
          <w:tcPr>
            <w:tcW w:w="4034" w:type="dxa"/>
            <w:tcBorders>
              <w:top w:val="nil"/>
              <w:left w:val="nil"/>
              <w:bottom w:val="nil"/>
              <w:right w:val="nil"/>
            </w:tcBorders>
            <w:vAlign w:val="center"/>
          </w:tcPr>
          <w:p w14:paraId="563388A8">
            <w:pPr>
              <w:widowControl/>
              <w:jc w:val="left"/>
              <w:textAlignment w:val="center"/>
              <w:rPr>
                <w:rFonts w:ascii="Times New Roman Regular" w:hAnsi="Times New Roman Regular"/>
                <w:kern w:val="0"/>
              </w:rPr>
            </w:pPr>
            <w:r>
              <w:rPr>
                <w:rFonts w:ascii="Times New Roman Regular" w:hAnsi="Times New Roman Regular"/>
                <w:color w:val="000000"/>
                <w:kern w:val="0"/>
              </w:rPr>
              <w:t>Skin and subcutaneous tissue disorders#</w:t>
            </w:r>
          </w:p>
        </w:tc>
        <w:tc>
          <w:tcPr>
            <w:tcW w:w="1166" w:type="dxa"/>
            <w:tcBorders>
              <w:top w:val="nil"/>
              <w:left w:val="nil"/>
              <w:bottom w:val="nil"/>
              <w:right w:val="nil"/>
            </w:tcBorders>
            <w:vAlign w:val="center"/>
          </w:tcPr>
          <w:p w14:paraId="120E7B16">
            <w:pPr>
              <w:widowControl/>
              <w:jc w:val="center"/>
              <w:textAlignment w:val="center"/>
              <w:rPr>
                <w:rFonts w:ascii="Times New Roman Regular" w:hAnsi="Times New Roman Regular"/>
                <w:kern w:val="0"/>
              </w:rPr>
            </w:pPr>
            <w:r>
              <w:rPr>
                <w:rFonts w:ascii="Times New Roman Regular" w:hAnsi="Times New Roman Regular"/>
                <w:color w:val="000000"/>
                <w:kern w:val="0"/>
              </w:rPr>
              <w:t>282</w:t>
            </w:r>
          </w:p>
        </w:tc>
        <w:tc>
          <w:tcPr>
            <w:tcW w:w="1913" w:type="dxa"/>
            <w:tcBorders>
              <w:top w:val="nil"/>
              <w:left w:val="nil"/>
              <w:bottom w:val="nil"/>
              <w:right w:val="nil"/>
            </w:tcBorders>
            <w:vAlign w:val="center"/>
          </w:tcPr>
          <w:p w14:paraId="5094BD9A">
            <w:pPr>
              <w:widowControl/>
              <w:jc w:val="center"/>
              <w:textAlignment w:val="center"/>
              <w:rPr>
                <w:rFonts w:ascii="Times New Roman Regular" w:hAnsi="Times New Roman Regular"/>
                <w:kern w:val="0"/>
              </w:rPr>
            </w:pPr>
            <w:r>
              <w:rPr>
                <w:rFonts w:ascii="Times New Roman Regular" w:hAnsi="Times New Roman Regular"/>
                <w:color w:val="000000"/>
                <w:kern w:val="0"/>
              </w:rPr>
              <w:t>55.83 (49.21-63.34)</w:t>
            </w:r>
          </w:p>
        </w:tc>
        <w:tc>
          <w:tcPr>
            <w:tcW w:w="1982" w:type="dxa"/>
            <w:tcBorders>
              <w:top w:val="nil"/>
              <w:left w:val="nil"/>
              <w:bottom w:val="nil"/>
              <w:right w:val="nil"/>
            </w:tcBorders>
            <w:vAlign w:val="center"/>
          </w:tcPr>
          <w:p w14:paraId="753AA924">
            <w:pPr>
              <w:widowControl/>
              <w:jc w:val="center"/>
              <w:textAlignment w:val="center"/>
              <w:rPr>
                <w:rFonts w:ascii="Times New Roman Regular" w:hAnsi="Times New Roman Regular"/>
                <w:kern w:val="0"/>
              </w:rPr>
            </w:pPr>
            <w:r>
              <w:rPr>
                <w:rFonts w:ascii="Times New Roman Regular" w:hAnsi="Times New Roman Regular"/>
                <w:color w:val="000000"/>
                <w:kern w:val="0"/>
              </w:rPr>
              <w:t>55.26 (48.76-62.62)</w:t>
            </w:r>
          </w:p>
        </w:tc>
        <w:tc>
          <w:tcPr>
            <w:tcW w:w="1322" w:type="dxa"/>
            <w:tcBorders>
              <w:top w:val="nil"/>
              <w:left w:val="nil"/>
              <w:bottom w:val="nil"/>
              <w:right w:val="nil"/>
            </w:tcBorders>
            <w:vAlign w:val="center"/>
          </w:tcPr>
          <w:p w14:paraId="6677AF01">
            <w:pPr>
              <w:widowControl/>
              <w:jc w:val="center"/>
              <w:textAlignment w:val="center"/>
              <w:rPr>
                <w:rFonts w:ascii="Times New Roman Regular" w:hAnsi="Times New Roman Regular"/>
                <w:kern w:val="0"/>
              </w:rPr>
            </w:pPr>
            <w:r>
              <w:rPr>
                <w:rFonts w:ascii="Times New Roman Regular" w:hAnsi="Times New Roman Regular"/>
                <w:color w:val="000000"/>
                <w:kern w:val="0"/>
              </w:rPr>
              <w:t>5.58 (5.16)</w:t>
            </w:r>
          </w:p>
        </w:tc>
        <w:tc>
          <w:tcPr>
            <w:tcW w:w="1443" w:type="dxa"/>
            <w:tcBorders>
              <w:top w:val="nil"/>
              <w:left w:val="nil"/>
              <w:bottom w:val="nil"/>
              <w:right w:val="nil"/>
            </w:tcBorders>
            <w:vAlign w:val="center"/>
          </w:tcPr>
          <w:p w14:paraId="1881ACFB">
            <w:pPr>
              <w:widowControl/>
              <w:jc w:val="center"/>
              <w:textAlignment w:val="center"/>
              <w:rPr>
                <w:rFonts w:ascii="Times New Roman Regular" w:hAnsi="Times New Roman Regular"/>
                <w:kern w:val="0"/>
              </w:rPr>
            </w:pPr>
            <w:r>
              <w:rPr>
                <w:rFonts w:ascii="Times New Roman Regular" w:hAnsi="Times New Roman Regular"/>
                <w:color w:val="000000"/>
                <w:kern w:val="0"/>
              </w:rPr>
              <w:t>47.79 (42.12)</w:t>
            </w:r>
          </w:p>
        </w:tc>
      </w:tr>
      <w:tr w14:paraId="1260D89C">
        <w:tc>
          <w:tcPr>
            <w:tcW w:w="2314" w:type="dxa"/>
            <w:tcBorders>
              <w:top w:val="nil"/>
              <w:left w:val="nil"/>
              <w:bottom w:val="nil"/>
              <w:right w:val="nil"/>
            </w:tcBorders>
            <w:vAlign w:val="center"/>
          </w:tcPr>
          <w:p w14:paraId="43A8CF17">
            <w:pPr>
              <w:widowControl/>
              <w:jc w:val="left"/>
              <w:textAlignment w:val="center"/>
              <w:rPr>
                <w:rFonts w:ascii="Times New Roman Regular" w:hAnsi="Times New Roman Regular"/>
                <w:kern w:val="0"/>
              </w:rPr>
            </w:pPr>
            <w:r>
              <w:rPr>
                <w:rFonts w:ascii="Times New Roman Regular" w:hAnsi="Times New Roman Regular"/>
                <w:color w:val="000000"/>
                <w:kern w:val="0"/>
              </w:rPr>
              <w:t>Drug resistance</w:t>
            </w:r>
          </w:p>
        </w:tc>
        <w:tc>
          <w:tcPr>
            <w:tcW w:w="4034" w:type="dxa"/>
            <w:tcBorders>
              <w:top w:val="nil"/>
              <w:left w:val="nil"/>
              <w:bottom w:val="nil"/>
              <w:right w:val="nil"/>
            </w:tcBorders>
            <w:vAlign w:val="center"/>
          </w:tcPr>
          <w:p w14:paraId="3E1D815E">
            <w:pPr>
              <w:widowControl/>
              <w:jc w:val="left"/>
              <w:textAlignment w:val="center"/>
              <w:rPr>
                <w:rFonts w:ascii="Times New Roman Regular" w:hAnsi="Times New Roman Regular"/>
                <w:kern w:val="0"/>
              </w:rPr>
            </w:pPr>
            <w:r>
              <w:rPr>
                <w:rFonts w:ascii="Times New Roman Regular" w:hAnsi="Times New Roman Regular"/>
                <w:color w:val="000000"/>
                <w:kern w:val="0"/>
              </w:rPr>
              <w:t>General disorders and administration site conditions</w:t>
            </w:r>
          </w:p>
        </w:tc>
        <w:tc>
          <w:tcPr>
            <w:tcW w:w="1166" w:type="dxa"/>
            <w:tcBorders>
              <w:top w:val="nil"/>
              <w:left w:val="nil"/>
              <w:bottom w:val="nil"/>
              <w:right w:val="nil"/>
            </w:tcBorders>
            <w:vAlign w:val="center"/>
          </w:tcPr>
          <w:p w14:paraId="0CF8CF17">
            <w:pPr>
              <w:widowControl/>
              <w:jc w:val="center"/>
              <w:textAlignment w:val="center"/>
              <w:rPr>
                <w:rFonts w:ascii="Times New Roman Regular" w:hAnsi="Times New Roman Regular"/>
                <w:kern w:val="0"/>
              </w:rPr>
            </w:pPr>
            <w:r>
              <w:rPr>
                <w:rFonts w:ascii="Times New Roman Regular" w:hAnsi="Times New Roman Regular"/>
                <w:color w:val="000000"/>
                <w:kern w:val="0"/>
              </w:rPr>
              <w:t>256</w:t>
            </w:r>
          </w:p>
        </w:tc>
        <w:tc>
          <w:tcPr>
            <w:tcW w:w="1913" w:type="dxa"/>
            <w:tcBorders>
              <w:top w:val="nil"/>
              <w:left w:val="nil"/>
              <w:bottom w:val="nil"/>
              <w:right w:val="nil"/>
            </w:tcBorders>
            <w:vAlign w:val="center"/>
          </w:tcPr>
          <w:p w14:paraId="402D53F6">
            <w:pPr>
              <w:widowControl/>
              <w:jc w:val="center"/>
              <w:textAlignment w:val="center"/>
              <w:rPr>
                <w:rFonts w:ascii="Times New Roman Regular" w:hAnsi="Times New Roman Regular"/>
                <w:kern w:val="0"/>
              </w:rPr>
            </w:pPr>
            <w:r>
              <w:rPr>
                <w:rFonts w:ascii="Times New Roman Regular" w:hAnsi="Times New Roman Regular"/>
                <w:color w:val="000000"/>
                <w:kern w:val="0"/>
              </w:rPr>
              <w:t>8.27 (7.3-9.37)</w:t>
            </w:r>
          </w:p>
        </w:tc>
        <w:tc>
          <w:tcPr>
            <w:tcW w:w="1982" w:type="dxa"/>
            <w:tcBorders>
              <w:top w:val="nil"/>
              <w:left w:val="nil"/>
              <w:bottom w:val="nil"/>
              <w:right w:val="nil"/>
            </w:tcBorders>
            <w:vAlign w:val="center"/>
          </w:tcPr>
          <w:p w14:paraId="25FADD75">
            <w:pPr>
              <w:widowControl/>
              <w:jc w:val="center"/>
              <w:textAlignment w:val="center"/>
              <w:rPr>
                <w:rFonts w:ascii="Times New Roman Regular" w:hAnsi="Times New Roman Regular"/>
                <w:kern w:val="0"/>
              </w:rPr>
            </w:pPr>
            <w:r>
              <w:rPr>
                <w:rFonts w:ascii="Times New Roman Regular" w:hAnsi="Times New Roman Regular"/>
                <w:color w:val="000000"/>
                <w:kern w:val="0"/>
              </w:rPr>
              <w:t>8.21 (7.25-9.28)</w:t>
            </w:r>
          </w:p>
        </w:tc>
        <w:tc>
          <w:tcPr>
            <w:tcW w:w="1322" w:type="dxa"/>
            <w:tcBorders>
              <w:top w:val="nil"/>
              <w:left w:val="nil"/>
              <w:bottom w:val="nil"/>
              <w:right w:val="nil"/>
            </w:tcBorders>
            <w:vAlign w:val="center"/>
          </w:tcPr>
          <w:p w14:paraId="240EAA39">
            <w:pPr>
              <w:widowControl/>
              <w:jc w:val="center"/>
              <w:textAlignment w:val="center"/>
              <w:rPr>
                <w:rFonts w:ascii="Times New Roman Regular" w:hAnsi="Times New Roman Regular"/>
                <w:kern w:val="0"/>
              </w:rPr>
            </w:pPr>
            <w:r>
              <w:rPr>
                <w:rFonts w:ascii="Times New Roman Regular" w:hAnsi="Times New Roman Regular"/>
                <w:color w:val="000000"/>
                <w:kern w:val="0"/>
              </w:rPr>
              <w:t>3.01 (2.59)</w:t>
            </w:r>
          </w:p>
        </w:tc>
        <w:tc>
          <w:tcPr>
            <w:tcW w:w="1443" w:type="dxa"/>
            <w:tcBorders>
              <w:top w:val="nil"/>
              <w:left w:val="nil"/>
              <w:bottom w:val="nil"/>
              <w:right w:val="nil"/>
            </w:tcBorders>
            <w:vAlign w:val="center"/>
          </w:tcPr>
          <w:p w14:paraId="61A50294">
            <w:pPr>
              <w:widowControl/>
              <w:jc w:val="center"/>
              <w:textAlignment w:val="center"/>
              <w:rPr>
                <w:rFonts w:ascii="Times New Roman Regular" w:hAnsi="Times New Roman Regular"/>
                <w:kern w:val="0"/>
              </w:rPr>
            </w:pPr>
            <w:r>
              <w:rPr>
                <w:rFonts w:ascii="Times New Roman Regular" w:hAnsi="Times New Roman Regular"/>
                <w:color w:val="000000"/>
                <w:kern w:val="0"/>
              </w:rPr>
              <w:t>8.04 (7.1)</w:t>
            </w:r>
          </w:p>
        </w:tc>
      </w:tr>
      <w:tr w14:paraId="722ABA34">
        <w:tc>
          <w:tcPr>
            <w:tcW w:w="2314" w:type="dxa"/>
            <w:tcBorders>
              <w:top w:val="nil"/>
              <w:left w:val="nil"/>
              <w:bottom w:val="nil"/>
              <w:right w:val="nil"/>
            </w:tcBorders>
            <w:vAlign w:val="center"/>
          </w:tcPr>
          <w:p w14:paraId="2862A147">
            <w:pPr>
              <w:widowControl/>
              <w:jc w:val="left"/>
              <w:textAlignment w:val="center"/>
              <w:rPr>
                <w:rFonts w:ascii="Times New Roman Regular" w:hAnsi="Times New Roman Regular"/>
                <w:kern w:val="0"/>
              </w:rPr>
            </w:pPr>
            <w:r>
              <w:rPr>
                <w:rFonts w:ascii="Times New Roman Regular" w:hAnsi="Times New Roman Regular"/>
                <w:color w:val="000000"/>
                <w:kern w:val="0"/>
              </w:rPr>
              <w:t>Pleural effusion#</w:t>
            </w:r>
          </w:p>
        </w:tc>
        <w:tc>
          <w:tcPr>
            <w:tcW w:w="4034" w:type="dxa"/>
            <w:tcBorders>
              <w:top w:val="nil"/>
              <w:left w:val="nil"/>
              <w:bottom w:val="nil"/>
              <w:right w:val="nil"/>
            </w:tcBorders>
            <w:vAlign w:val="center"/>
          </w:tcPr>
          <w:p w14:paraId="6AD1FB01">
            <w:pPr>
              <w:widowControl/>
              <w:jc w:val="left"/>
              <w:textAlignment w:val="center"/>
              <w:rPr>
                <w:rFonts w:ascii="Times New Roman Regular" w:hAnsi="Times New Roman Regular"/>
                <w:kern w:val="0"/>
              </w:rPr>
            </w:pPr>
            <w:r>
              <w:rPr>
                <w:rFonts w:ascii="Times New Roman Regular" w:hAnsi="Times New Roman Regular"/>
                <w:color w:val="000000"/>
                <w:kern w:val="0"/>
              </w:rPr>
              <w:t>Respiratory, thoracic and mediastinal disorders</w:t>
            </w:r>
          </w:p>
        </w:tc>
        <w:tc>
          <w:tcPr>
            <w:tcW w:w="1166" w:type="dxa"/>
            <w:tcBorders>
              <w:top w:val="nil"/>
              <w:left w:val="nil"/>
              <w:bottom w:val="nil"/>
              <w:right w:val="nil"/>
            </w:tcBorders>
            <w:vAlign w:val="center"/>
          </w:tcPr>
          <w:p w14:paraId="149749E1">
            <w:pPr>
              <w:widowControl/>
              <w:jc w:val="center"/>
              <w:textAlignment w:val="center"/>
              <w:rPr>
                <w:rFonts w:ascii="Times New Roman Regular" w:hAnsi="Times New Roman Regular"/>
                <w:kern w:val="0"/>
              </w:rPr>
            </w:pPr>
            <w:r>
              <w:rPr>
                <w:rFonts w:ascii="Times New Roman Regular" w:hAnsi="Times New Roman Regular"/>
                <w:color w:val="000000"/>
                <w:kern w:val="0"/>
              </w:rPr>
              <w:t>223</w:t>
            </w:r>
          </w:p>
        </w:tc>
        <w:tc>
          <w:tcPr>
            <w:tcW w:w="1913" w:type="dxa"/>
            <w:tcBorders>
              <w:top w:val="nil"/>
              <w:left w:val="nil"/>
              <w:bottom w:val="nil"/>
              <w:right w:val="nil"/>
            </w:tcBorders>
            <w:vAlign w:val="center"/>
          </w:tcPr>
          <w:p w14:paraId="0AFA019A">
            <w:pPr>
              <w:widowControl/>
              <w:jc w:val="center"/>
              <w:textAlignment w:val="center"/>
              <w:rPr>
                <w:rFonts w:ascii="Times New Roman Regular" w:hAnsi="Times New Roman Regular"/>
                <w:kern w:val="0"/>
              </w:rPr>
            </w:pPr>
            <w:r>
              <w:rPr>
                <w:rFonts w:ascii="Times New Roman Regular" w:hAnsi="Times New Roman Regular"/>
                <w:color w:val="000000"/>
                <w:kern w:val="0"/>
              </w:rPr>
              <w:t>3.41 (2.99-3.9)</w:t>
            </w:r>
          </w:p>
        </w:tc>
        <w:tc>
          <w:tcPr>
            <w:tcW w:w="1982" w:type="dxa"/>
            <w:tcBorders>
              <w:top w:val="nil"/>
              <w:left w:val="nil"/>
              <w:bottom w:val="nil"/>
              <w:right w:val="nil"/>
            </w:tcBorders>
            <w:vAlign w:val="center"/>
          </w:tcPr>
          <w:p w14:paraId="341C21A6">
            <w:pPr>
              <w:widowControl/>
              <w:jc w:val="center"/>
              <w:textAlignment w:val="center"/>
              <w:rPr>
                <w:rFonts w:ascii="Times New Roman Regular" w:hAnsi="Times New Roman Regular"/>
                <w:kern w:val="0"/>
              </w:rPr>
            </w:pPr>
            <w:r>
              <w:rPr>
                <w:rFonts w:ascii="Times New Roman Regular" w:hAnsi="Times New Roman Regular"/>
                <w:color w:val="000000"/>
                <w:kern w:val="0"/>
              </w:rPr>
              <w:t>3.39 (2.97-3.87)</w:t>
            </w:r>
          </w:p>
        </w:tc>
        <w:tc>
          <w:tcPr>
            <w:tcW w:w="1322" w:type="dxa"/>
            <w:tcBorders>
              <w:top w:val="nil"/>
              <w:left w:val="nil"/>
              <w:bottom w:val="nil"/>
              <w:right w:val="nil"/>
            </w:tcBorders>
            <w:vAlign w:val="center"/>
          </w:tcPr>
          <w:p w14:paraId="3643B9B1">
            <w:pPr>
              <w:widowControl/>
              <w:jc w:val="center"/>
              <w:textAlignment w:val="center"/>
              <w:rPr>
                <w:rFonts w:ascii="Times New Roman Regular" w:hAnsi="Times New Roman Regular"/>
                <w:kern w:val="0"/>
              </w:rPr>
            </w:pPr>
            <w:r>
              <w:rPr>
                <w:rFonts w:ascii="Times New Roman Regular" w:hAnsi="Times New Roman Regular"/>
                <w:color w:val="000000"/>
                <w:kern w:val="0"/>
              </w:rPr>
              <w:t>1.75 (1.31)</w:t>
            </w:r>
          </w:p>
        </w:tc>
        <w:tc>
          <w:tcPr>
            <w:tcW w:w="1443" w:type="dxa"/>
            <w:tcBorders>
              <w:top w:val="nil"/>
              <w:left w:val="nil"/>
              <w:bottom w:val="nil"/>
              <w:right w:val="nil"/>
            </w:tcBorders>
            <w:vAlign w:val="center"/>
          </w:tcPr>
          <w:p w14:paraId="5F3793B7">
            <w:pPr>
              <w:widowControl/>
              <w:jc w:val="center"/>
              <w:textAlignment w:val="center"/>
              <w:rPr>
                <w:rFonts w:ascii="Times New Roman Regular" w:hAnsi="Times New Roman Regular"/>
                <w:kern w:val="0"/>
              </w:rPr>
            </w:pPr>
            <w:r>
              <w:rPr>
                <w:rFonts w:ascii="Times New Roman Regular" w:hAnsi="Times New Roman Regular"/>
                <w:color w:val="000000"/>
                <w:kern w:val="0"/>
              </w:rPr>
              <w:t>3.37 (2.95)</w:t>
            </w:r>
          </w:p>
        </w:tc>
      </w:tr>
      <w:tr w14:paraId="1A127480">
        <w:tc>
          <w:tcPr>
            <w:tcW w:w="2314" w:type="dxa"/>
            <w:tcBorders>
              <w:top w:val="nil"/>
              <w:left w:val="nil"/>
              <w:bottom w:val="nil"/>
              <w:right w:val="nil"/>
            </w:tcBorders>
            <w:vAlign w:val="center"/>
          </w:tcPr>
          <w:p w14:paraId="6C365E37">
            <w:pPr>
              <w:widowControl/>
              <w:jc w:val="left"/>
              <w:textAlignment w:val="center"/>
              <w:rPr>
                <w:rFonts w:ascii="Times New Roman Regular" w:hAnsi="Times New Roman Regular"/>
                <w:kern w:val="0"/>
              </w:rPr>
            </w:pPr>
            <w:r>
              <w:rPr>
                <w:rFonts w:ascii="Times New Roman Regular" w:hAnsi="Times New Roman Regular"/>
                <w:color w:val="000000"/>
                <w:kern w:val="0"/>
              </w:rPr>
              <w:t>Skin exfoliation#</w:t>
            </w:r>
          </w:p>
        </w:tc>
        <w:tc>
          <w:tcPr>
            <w:tcW w:w="4034" w:type="dxa"/>
            <w:tcBorders>
              <w:top w:val="nil"/>
              <w:left w:val="nil"/>
              <w:bottom w:val="nil"/>
              <w:right w:val="nil"/>
            </w:tcBorders>
            <w:vAlign w:val="center"/>
          </w:tcPr>
          <w:p w14:paraId="7CC95173">
            <w:pPr>
              <w:widowControl/>
              <w:jc w:val="left"/>
              <w:textAlignment w:val="center"/>
              <w:rPr>
                <w:rFonts w:ascii="Times New Roman Regular" w:hAnsi="Times New Roman Regular"/>
                <w:kern w:val="0"/>
              </w:rPr>
            </w:pPr>
            <w:r>
              <w:rPr>
                <w:rFonts w:ascii="Times New Roman Regular" w:hAnsi="Times New Roman Regular"/>
                <w:color w:val="000000"/>
                <w:kern w:val="0"/>
              </w:rPr>
              <w:t>Skin and subcutaneous tissue disorders#</w:t>
            </w:r>
          </w:p>
        </w:tc>
        <w:tc>
          <w:tcPr>
            <w:tcW w:w="1166" w:type="dxa"/>
            <w:tcBorders>
              <w:top w:val="nil"/>
              <w:left w:val="nil"/>
              <w:bottom w:val="nil"/>
              <w:right w:val="nil"/>
            </w:tcBorders>
            <w:vAlign w:val="center"/>
          </w:tcPr>
          <w:p w14:paraId="52469127">
            <w:pPr>
              <w:widowControl/>
              <w:jc w:val="center"/>
              <w:textAlignment w:val="center"/>
              <w:rPr>
                <w:rFonts w:ascii="Times New Roman Regular" w:hAnsi="Times New Roman Regular"/>
                <w:kern w:val="0"/>
              </w:rPr>
            </w:pPr>
            <w:r>
              <w:rPr>
                <w:rFonts w:ascii="Times New Roman Regular" w:hAnsi="Times New Roman Regular"/>
                <w:color w:val="000000"/>
                <w:kern w:val="0"/>
              </w:rPr>
              <w:t>212</w:t>
            </w:r>
          </w:p>
        </w:tc>
        <w:tc>
          <w:tcPr>
            <w:tcW w:w="1913" w:type="dxa"/>
            <w:tcBorders>
              <w:top w:val="nil"/>
              <w:left w:val="nil"/>
              <w:bottom w:val="nil"/>
              <w:right w:val="nil"/>
            </w:tcBorders>
            <w:vAlign w:val="center"/>
          </w:tcPr>
          <w:p w14:paraId="783B600E">
            <w:pPr>
              <w:widowControl/>
              <w:jc w:val="center"/>
              <w:textAlignment w:val="center"/>
              <w:rPr>
                <w:rFonts w:ascii="Times New Roman Regular" w:hAnsi="Times New Roman Regular"/>
                <w:kern w:val="0"/>
              </w:rPr>
            </w:pPr>
            <w:r>
              <w:rPr>
                <w:rFonts w:ascii="Times New Roman Regular" w:hAnsi="Times New Roman Regular"/>
                <w:color w:val="000000"/>
                <w:kern w:val="0"/>
              </w:rPr>
              <w:t>3.9 (3.4-4.46)</w:t>
            </w:r>
          </w:p>
        </w:tc>
        <w:tc>
          <w:tcPr>
            <w:tcW w:w="1982" w:type="dxa"/>
            <w:tcBorders>
              <w:top w:val="nil"/>
              <w:left w:val="nil"/>
              <w:bottom w:val="nil"/>
              <w:right w:val="nil"/>
            </w:tcBorders>
            <w:vAlign w:val="center"/>
          </w:tcPr>
          <w:p w14:paraId="18E0DF97">
            <w:pPr>
              <w:widowControl/>
              <w:jc w:val="center"/>
              <w:textAlignment w:val="center"/>
              <w:rPr>
                <w:rFonts w:ascii="Times New Roman Regular" w:hAnsi="Times New Roman Regular"/>
                <w:kern w:val="0"/>
              </w:rPr>
            </w:pPr>
            <w:r>
              <w:rPr>
                <w:rFonts w:ascii="Times New Roman Regular" w:hAnsi="Times New Roman Regular"/>
                <w:color w:val="000000"/>
                <w:kern w:val="0"/>
              </w:rPr>
              <w:t>3.88 (3.39-4.43)</w:t>
            </w:r>
          </w:p>
        </w:tc>
        <w:tc>
          <w:tcPr>
            <w:tcW w:w="1322" w:type="dxa"/>
            <w:tcBorders>
              <w:top w:val="nil"/>
              <w:left w:val="nil"/>
              <w:bottom w:val="nil"/>
              <w:right w:val="nil"/>
            </w:tcBorders>
            <w:vAlign w:val="center"/>
          </w:tcPr>
          <w:p w14:paraId="05EE69EB">
            <w:pPr>
              <w:widowControl/>
              <w:jc w:val="center"/>
              <w:textAlignment w:val="center"/>
              <w:rPr>
                <w:rFonts w:ascii="Times New Roman Regular" w:hAnsi="Times New Roman Regular"/>
                <w:kern w:val="0"/>
              </w:rPr>
            </w:pPr>
            <w:r>
              <w:rPr>
                <w:rFonts w:ascii="Times New Roman Regular" w:hAnsi="Times New Roman Regular"/>
                <w:color w:val="000000"/>
                <w:kern w:val="0"/>
              </w:rPr>
              <w:t>1.94 (1.49)</w:t>
            </w:r>
          </w:p>
        </w:tc>
        <w:tc>
          <w:tcPr>
            <w:tcW w:w="1443" w:type="dxa"/>
            <w:tcBorders>
              <w:top w:val="nil"/>
              <w:left w:val="nil"/>
              <w:bottom w:val="nil"/>
              <w:right w:val="nil"/>
            </w:tcBorders>
            <w:vAlign w:val="center"/>
          </w:tcPr>
          <w:p w14:paraId="2662097B">
            <w:pPr>
              <w:widowControl/>
              <w:jc w:val="center"/>
              <w:textAlignment w:val="center"/>
              <w:rPr>
                <w:rFonts w:ascii="Times New Roman Regular" w:hAnsi="Times New Roman Regular"/>
                <w:kern w:val="0"/>
              </w:rPr>
            </w:pPr>
            <w:r>
              <w:rPr>
                <w:rFonts w:ascii="Times New Roman Regular" w:hAnsi="Times New Roman Regular"/>
                <w:color w:val="000000"/>
                <w:kern w:val="0"/>
              </w:rPr>
              <w:t>3.84 (3.36)</w:t>
            </w:r>
          </w:p>
        </w:tc>
      </w:tr>
      <w:tr w14:paraId="22CD556E">
        <w:tc>
          <w:tcPr>
            <w:tcW w:w="2314" w:type="dxa"/>
            <w:tcBorders>
              <w:top w:val="nil"/>
              <w:left w:val="nil"/>
              <w:bottom w:val="nil"/>
              <w:right w:val="nil"/>
            </w:tcBorders>
            <w:vAlign w:val="center"/>
          </w:tcPr>
          <w:p w14:paraId="510C0A8C">
            <w:pPr>
              <w:widowControl/>
              <w:jc w:val="left"/>
              <w:textAlignment w:val="center"/>
              <w:rPr>
                <w:rFonts w:ascii="Times New Roman Regular" w:hAnsi="Times New Roman Regular"/>
                <w:kern w:val="0"/>
              </w:rPr>
            </w:pPr>
            <w:r>
              <w:rPr>
                <w:rFonts w:ascii="Times New Roman Regular" w:hAnsi="Times New Roman Regular"/>
                <w:color w:val="000000"/>
                <w:kern w:val="0"/>
              </w:rPr>
              <w:t>Respiratory failure</w:t>
            </w:r>
          </w:p>
        </w:tc>
        <w:tc>
          <w:tcPr>
            <w:tcW w:w="4034" w:type="dxa"/>
            <w:tcBorders>
              <w:top w:val="nil"/>
              <w:left w:val="nil"/>
              <w:bottom w:val="nil"/>
              <w:right w:val="nil"/>
            </w:tcBorders>
            <w:vAlign w:val="center"/>
          </w:tcPr>
          <w:p w14:paraId="55FD719A">
            <w:pPr>
              <w:widowControl/>
              <w:jc w:val="left"/>
              <w:textAlignment w:val="center"/>
              <w:rPr>
                <w:rFonts w:ascii="Times New Roman Regular" w:hAnsi="Times New Roman Regular"/>
                <w:kern w:val="0"/>
              </w:rPr>
            </w:pPr>
            <w:r>
              <w:rPr>
                <w:rFonts w:ascii="Times New Roman Regular" w:hAnsi="Times New Roman Regular"/>
                <w:color w:val="000000"/>
                <w:kern w:val="0"/>
              </w:rPr>
              <w:t>Metabolism and nutrition disorders</w:t>
            </w:r>
          </w:p>
        </w:tc>
        <w:tc>
          <w:tcPr>
            <w:tcW w:w="1166" w:type="dxa"/>
            <w:tcBorders>
              <w:top w:val="nil"/>
              <w:left w:val="nil"/>
              <w:bottom w:val="nil"/>
              <w:right w:val="nil"/>
            </w:tcBorders>
            <w:vAlign w:val="center"/>
          </w:tcPr>
          <w:p w14:paraId="76FC0B7E">
            <w:pPr>
              <w:widowControl/>
              <w:jc w:val="center"/>
              <w:textAlignment w:val="center"/>
              <w:rPr>
                <w:rFonts w:ascii="Times New Roman Regular" w:hAnsi="Times New Roman Regular"/>
                <w:kern w:val="0"/>
              </w:rPr>
            </w:pPr>
            <w:r>
              <w:rPr>
                <w:rFonts w:ascii="Times New Roman Regular" w:hAnsi="Times New Roman Regular"/>
                <w:color w:val="000000"/>
                <w:kern w:val="0"/>
              </w:rPr>
              <w:t>208</w:t>
            </w:r>
          </w:p>
        </w:tc>
        <w:tc>
          <w:tcPr>
            <w:tcW w:w="1913" w:type="dxa"/>
            <w:tcBorders>
              <w:top w:val="nil"/>
              <w:left w:val="nil"/>
              <w:bottom w:val="nil"/>
              <w:right w:val="nil"/>
            </w:tcBorders>
            <w:vAlign w:val="center"/>
          </w:tcPr>
          <w:p w14:paraId="3E51C5DA">
            <w:pPr>
              <w:widowControl/>
              <w:jc w:val="center"/>
              <w:textAlignment w:val="center"/>
              <w:rPr>
                <w:rFonts w:ascii="Times New Roman Regular" w:hAnsi="Times New Roman Regular"/>
                <w:kern w:val="0"/>
              </w:rPr>
            </w:pPr>
            <w:r>
              <w:rPr>
                <w:rFonts w:ascii="Times New Roman Regular" w:hAnsi="Times New Roman Regular"/>
                <w:color w:val="000000"/>
                <w:kern w:val="0"/>
              </w:rPr>
              <w:t>2.49 (2.17-2.86)</w:t>
            </w:r>
          </w:p>
        </w:tc>
        <w:tc>
          <w:tcPr>
            <w:tcW w:w="1982" w:type="dxa"/>
            <w:tcBorders>
              <w:top w:val="nil"/>
              <w:left w:val="nil"/>
              <w:bottom w:val="nil"/>
              <w:right w:val="nil"/>
            </w:tcBorders>
            <w:vAlign w:val="center"/>
          </w:tcPr>
          <w:p w14:paraId="62201762">
            <w:pPr>
              <w:widowControl/>
              <w:jc w:val="center"/>
              <w:textAlignment w:val="center"/>
              <w:rPr>
                <w:rFonts w:ascii="Times New Roman Regular" w:hAnsi="Times New Roman Regular"/>
                <w:kern w:val="0"/>
              </w:rPr>
            </w:pPr>
            <w:r>
              <w:rPr>
                <w:rFonts w:ascii="Times New Roman Regular" w:hAnsi="Times New Roman Regular"/>
                <w:color w:val="000000"/>
                <w:kern w:val="0"/>
              </w:rPr>
              <w:t>2.48 (2.16-2.84)</w:t>
            </w:r>
          </w:p>
        </w:tc>
        <w:tc>
          <w:tcPr>
            <w:tcW w:w="1322" w:type="dxa"/>
            <w:tcBorders>
              <w:top w:val="nil"/>
              <w:left w:val="nil"/>
              <w:bottom w:val="nil"/>
              <w:right w:val="nil"/>
            </w:tcBorders>
            <w:vAlign w:val="center"/>
          </w:tcPr>
          <w:p w14:paraId="042DE69E">
            <w:pPr>
              <w:widowControl/>
              <w:jc w:val="center"/>
              <w:textAlignment w:val="center"/>
              <w:rPr>
                <w:rFonts w:ascii="Times New Roman Regular" w:hAnsi="Times New Roman Regular"/>
                <w:kern w:val="0"/>
              </w:rPr>
            </w:pPr>
            <w:r>
              <w:rPr>
                <w:rFonts w:ascii="Times New Roman Regular" w:hAnsi="Times New Roman Regular"/>
                <w:color w:val="000000"/>
                <w:kern w:val="0"/>
              </w:rPr>
              <w:t>1.3 (0.85)</w:t>
            </w:r>
          </w:p>
        </w:tc>
        <w:tc>
          <w:tcPr>
            <w:tcW w:w="1443" w:type="dxa"/>
            <w:tcBorders>
              <w:top w:val="nil"/>
              <w:left w:val="nil"/>
              <w:bottom w:val="nil"/>
              <w:right w:val="nil"/>
            </w:tcBorders>
            <w:vAlign w:val="center"/>
          </w:tcPr>
          <w:p w14:paraId="6FF4F0F8">
            <w:pPr>
              <w:widowControl/>
              <w:jc w:val="center"/>
              <w:textAlignment w:val="center"/>
              <w:rPr>
                <w:rFonts w:ascii="Times New Roman Regular" w:hAnsi="Times New Roman Regular"/>
                <w:kern w:val="0"/>
              </w:rPr>
            </w:pPr>
            <w:r>
              <w:rPr>
                <w:rFonts w:ascii="Times New Roman Regular" w:hAnsi="Times New Roman Regular"/>
                <w:color w:val="000000"/>
                <w:kern w:val="0"/>
              </w:rPr>
              <w:t>2.47 (2.15)</w:t>
            </w:r>
          </w:p>
        </w:tc>
      </w:tr>
      <w:tr w14:paraId="7E36555C">
        <w:tc>
          <w:tcPr>
            <w:tcW w:w="2314" w:type="dxa"/>
            <w:tcBorders>
              <w:top w:val="nil"/>
              <w:left w:val="nil"/>
              <w:bottom w:val="nil"/>
              <w:right w:val="nil"/>
            </w:tcBorders>
            <w:vAlign w:val="center"/>
          </w:tcPr>
          <w:p w14:paraId="3A530FB0">
            <w:pPr>
              <w:widowControl/>
              <w:jc w:val="left"/>
              <w:textAlignment w:val="center"/>
              <w:rPr>
                <w:rFonts w:ascii="Times New Roman Regular" w:hAnsi="Times New Roman Regular"/>
                <w:kern w:val="0"/>
              </w:rPr>
            </w:pPr>
            <w:r>
              <w:rPr>
                <w:rFonts w:ascii="Times New Roman Regular" w:hAnsi="Times New Roman Regular"/>
                <w:color w:val="000000"/>
                <w:kern w:val="0"/>
              </w:rPr>
              <w:t>Haemoptysis</w:t>
            </w:r>
          </w:p>
        </w:tc>
        <w:tc>
          <w:tcPr>
            <w:tcW w:w="4034" w:type="dxa"/>
            <w:tcBorders>
              <w:top w:val="nil"/>
              <w:left w:val="nil"/>
              <w:bottom w:val="nil"/>
              <w:right w:val="nil"/>
            </w:tcBorders>
            <w:vAlign w:val="center"/>
          </w:tcPr>
          <w:p w14:paraId="1F8DABA8">
            <w:pPr>
              <w:widowControl/>
              <w:jc w:val="left"/>
              <w:textAlignment w:val="center"/>
              <w:rPr>
                <w:rFonts w:ascii="Times New Roman Regular" w:hAnsi="Times New Roman Regular"/>
                <w:kern w:val="0"/>
              </w:rPr>
            </w:pPr>
            <w:r>
              <w:rPr>
                <w:rFonts w:ascii="Times New Roman Regular" w:hAnsi="Times New Roman Regular"/>
                <w:color w:val="000000"/>
                <w:kern w:val="0"/>
              </w:rPr>
              <w:t>Cardiac disorders</w:t>
            </w:r>
          </w:p>
        </w:tc>
        <w:tc>
          <w:tcPr>
            <w:tcW w:w="1166" w:type="dxa"/>
            <w:tcBorders>
              <w:top w:val="nil"/>
              <w:left w:val="nil"/>
              <w:bottom w:val="nil"/>
              <w:right w:val="nil"/>
            </w:tcBorders>
            <w:vAlign w:val="center"/>
          </w:tcPr>
          <w:p w14:paraId="18FF01E8">
            <w:pPr>
              <w:widowControl/>
              <w:jc w:val="center"/>
              <w:textAlignment w:val="center"/>
              <w:rPr>
                <w:rFonts w:ascii="Times New Roman Regular" w:hAnsi="Times New Roman Regular"/>
                <w:kern w:val="0"/>
              </w:rPr>
            </w:pPr>
            <w:r>
              <w:rPr>
                <w:rFonts w:ascii="Times New Roman Regular" w:hAnsi="Times New Roman Regular"/>
                <w:color w:val="000000"/>
                <w:kern w:val="0"/>
              </w:rPr>
              <w:t>177</w:t>
            </w:r>
          </w:p>
        </w:tc>
        <w:tc>
          <w:tcPr>
            <w:tcW w:w="1913" w:type="dxa"/>
            <w:tcBorders>
              <w:top w:val="nil"/>
              <w:left w:val="nil"/>
              <w:bottom w:val="nil"/>
              <w:right w:val="nil"/>
            </w:tcBorders>
            <w:vAlign w:val="center"/>
          </w:tcPr>
          <w:p w14:paraId="09F8EBC3">
            <w:pPr>
              <w:widowControl/>
              <w:jc w:val="center"/>
              <w:textAlignment w:val="center"/>
              <w:rPr>
                <w:rFonts w:ascii="Times New Roman Regular" w:hAnsi="Times New Roman Regular"/>
                <w:kern w:val="0"/>
              </w:rPr>
            </w:pPr>
            <w:r>
              <w:rPr>
                <w:rFonts w:ascii="Times New Roman Regular" w:hAnsi="Times New Roman Regular"/>
                <w:color w:val="000000"/>
                <w:kern w:val="0"/>
              </w:rPr>
              <w:t>5.83 (5.02-6.77)</w:t>
            </w:r>
          </w:p>
        </w:tc>
        <w:tc>
          <w:tcPr>
            <w:tcW w:w="1982" w:type="dxa"/>
            <w:tcBorders>
              <w:top w:val="nil"/>
              <w:left w:val="nil"/>
              <w:bottom w:val="nil"/>
              <w:right w:val="nil"/>
            </w:tcBorders>
            <w:vAlign w:val="center"/>
          </w:tcPr>
          <w:p w14:paraId="2D796072">
            <w:pPr>
              <w:widowControl/>
              <w:jc w:val="center"/>
              <w:textAlignment w:val="center"/>
              <w:rPr>
                <w:rFonts w:ascii="Times New Roman Regular" w:hAnsi="Times New Roman Regular"/>
                <w:kern w:val="0"/>
              </w:rPr>
            </w:pPr>
            <w:r>
              <w:rPr>
                <w:rFonts w:ascii="Times New Roman Regular" w:hAnsi="Times New Roman Regular"/>
                <w:color w:val="000000"/>
                <w:kern w:val="0"/>
              </w:rPr>
              <w:t>5.8 (5-6.72)</w:t>
            </w:r>
          </w:p>
        </w:tc>
        <w:tc>
          <w:tcPr>
            <w:tcW w:w="1322" w:type="dxa"/>
            <w:tcBorders>
              <w:top w:val="nil"/>
              <w:left w:val="nil"/>
              <w:bottom w:val="nil"/>
              <w:right w:val="nil"/>
            </w:tcBorders>
            <w:vAlign w:val="center"/>
          </w:tcPr>
          <w:p w14:paraId="2475CFA1">
            <w:pPr>
              <w:widowControl/>
              <w:jc w:val="center"/>
              <w:textAlignment w:val="center"/>
              <w:rPr>
                <w:rFonts w:ascii="Times New Roman Regular" w:hAnsi="Times New Roman Regular"/>
                <w:kern w:val="0"/>
              </w:rPr>
            </w:pPr>
            <w:r>
              <w:rPr>
                <w:rFonts w:ascii="Times New Roman Regular" w:hAnsi="Times New Roman Regular"/>
                <w:color w:val="000000"/>
                <w:kern w:val="0"/>
              </w:rPr>
              <w:t>2.52 (2.02)</w:t>
            </w:r>
          </w:p>
        </w:tc>
        <w:tc>
          <w:tcPr>
            <w:tcW w:w="1443" w:type="dxa"/>
            <w:tcBorders>
              <w:top w:val="nil"/>
              <w:left w:val="nil"/>
              <w:bottom w:val="nil"/>
              <w:right w:val="nil"/>
            </w:tcBorders>
            <w:vAlign w:val="center"/>
          </w:tcPr>
          <w:p w14:paraId="56AB21A3">
            <w:pPr>
              <w:widowControl/>
              <w:jc w:val="center"/>
              <w:textAlignment w:val="center"/>
              <w:rPr>
                <w:rFonts w:ascii="Times New Roman Regular" w:hAnsi="Times New Roman Regular"/>
                <w:kern w:val="0"/>
              </w:rPr>
            </w:pPr>
            <w:r>
              <w:rPr>
                <w:rFonts w:ascii="Times New Roman Regular" w:hAnsi="Times New Roman Regular"/>
                <w:color w:val="000000"/>
                <w:kern w:val="0"/>
              </w:rPr>
              <w:t>5.72 (4.93)</w:t>
            </w:r>
          </w:p>
        </w:tc>
      </w:tr>
      <w:tr w14:paraId="6CA9CCE2">
        <w:tc>
          <w:tcPr>
            <w:tcW w:w="2314" w:type="dxa"/>
            <w:tcBorders>
              <w:top w:val="nil"/>
              <w:left w:val="nil"/>
              <w:bottom w:val="nil"/>
              <w:right w:val="nil"/>
            </w:tcBorders>
            <w:vAlign w:val="center"/>
          </w:tcPr>
          <w:p w14:paraId="0575A0E3">
            <w:pPr>
              <w:widowControl/>
              <w:jc w:val="left"/>
              <w:textAlignment w:val="center"/>
              <w:rPr>
                <w:rFonts w:ascii="Times New Roman Regular" w:hAnsi="Times New Roman Regular"/>
                <w:kern w:val="0"/>
              </w:rPr>
            </w:pPr>
            <w:r>
              <w:rPr>
                <w:rFonts w:ascii="Times New Roman Regular" w:hAnsi="Times New Roman Regular"/>
                <w:color w:val="000000"/>
                <w:kern w:val="0"/>
              </w:rPr>
              <w:t>Metastases to central nervous system</w:t>
            </w:r>
          </w:p>
        </w:tc>
        <w:tc>
          <w:tcPr>
            <w:tcW w:w="4034" w:type="dxa"/>
            <w:tcBorders>
              <w:top w:val="nil"/>
              <w:left w:val="nil"/>
              <w:bottom w:val="nil"/>
              <w:right w:val="nil"/>
            </w:tcBorders>
            <w:vAlign w:val="center"/>
          </w:tcPr>
          <w:p w14:paraId="0CA9DEB0">
            <w:pPr>
              <w:widowControl/>
              <w:jc w:val="left"/>
              <w:textAlignment w:val="center"/>
              <w:rPr>
                <w:rFonts w:ascii="Times New Roman Regular" w:hAnsi="Times New Roman Regular"/>
                <w:kern w:val="0"/>
              </w:rPr>
            </w:pPr>
            <w:r>
              <w:rPr>
                <w:rFonts w:ascii="Times New Roman Regular" w:hAnsi="Times New Roman Regular"/>
                <w:color w:val="000000"/>
                <w:kern w:val="0"/>
              </w:rPr>
              <w:t>Neoplasms benign, malignant and unspecified (incl cysts and polyps)</w:t>
            </w:r>
          </w:p>
        </w:tc>
        <w:tc>
          <w:tcPr>
            <w:tcW w:w="1166" w:type="dxa"/>
            <w:tcBorders>
              <w:top w:val="nil"/>
              <w:left w:val="nil"/>
              <w:bottom w:val="nil"/>
              <w:right w:val="nil"/>
            </w:tcBorders>
            <w:vAlign w:val="center"/>
          </w:tcPr>
          <w:p w14:paraId="6BD0BE95">
            <w:pPr>
              <w:widowControl/>
              <w:jc w:val="center"/>
              <w:textAlignment w:val="center"/>
              <w:rPr>
                <w:rFonts w:ascii="Times New Roman Regular" w:hAnsi="Times New Roman Regular"/>
                <w:kern w:val="0"/>
              </w:rPr>
            </w:pPr>
            <w:r>
              <w:rPr>
                <w:rFonts w:ascii="Times New Roman Regular" w:hAnsi="Times New Roman Regular"/>
                <w:color w:val="000000"/>
                <w:kern w:val="0"/>
              </w:rPr>
              <w:t>153</w:t>
            </w:r>
          </w:p>
        </w:tc>
        <w:tc>
          <w:tcPr>
            <w:tcW w:w="1913" w:type="dxa"/>
            <w:tcBorders>
              <w:top w:val="nil"/>
              <w:left w:val="nil"/>
              <w:bottom w:val="nil"/>
              <w:right w:val="nil"/>
            </w:tcBorders>
            <w:vAlign w:val="center"/>
          </w:tcPr>
          <w:p w14:paraId="422C4042">
            <w:pPr>
              <w:widowControl/>
              <w:jc w:val="center"/>
              <w:textAlignment w:val="center"/>
              <w:rPr>
                <w:rFonts w:ascii="Times New Roman Regular" w:hAnsi="Times New Roman Regular"/>
                <w:kern w:val="0"/>
              </w:rPr>
            </w:pPr>
            <w:r>
              <w:rPr>
                <w:rFonts w:ascii="Times New Roman Regular" w:hAnsi="Times New Roman Regular"/>
                <w:color w:val="000000"/>
                <w:kern w:val="0"/>
              </w:rPr>
              <w:t>11.62 (9.89-13.66)</w:t>
            </w:r>
          </w:p>
        </w:tc>
        <w:tc>
          <w:tcPr>
            <w:tcW w:w="1982" w:type="dxa"/>
            <w:tcBorders>
              <w:top w:val="nil"/>
              <w:left w:val="nil"/>
              <w:bottom w:val="nil"/>
              <w:right w:val="nil"/>
            </w:tcBorders>
            <w:vAlign w:val="center"/>
          </w:tcPr>
          <w:p w14:paraId="36A9EDA2">
            <w:pPr>
              <w:widowControl/>
              <w:jc w:val="center"/>
              <w:textAlignment w:val="center"/>
              <w:rPr>
                <w:rFonts w:ascii="Times New Roman Regular" w:hAnsi="Times New Roman Regular"/>
                <w:kern w:val="0"/>
              </w:rPr>
            </w:pPr>
            <w:r>
              <w:rPr>
                <w:rFonts w:ascii="Times New Roman Regular" w:hAnsi="Times New Roman Regular"/>
                <w:color w:val="000000"/>
                <w:kern w:val="0"/>
              </w:rPr>
              <w:t>11.56 (9.84-13.57)</w:t>
            </w:r>
          </w:p>
        </w:tc>
        <w:tc>
          <w:tcPr>
            <w:tcW w:w="1322" w:type="dxa"/>
            <w:tcBorders>
              <w:top w:val="nil"/>
              <w:left w:val="nil"/>
              <w:bottom w:val="nil"/>
              <w:right w:val="nil"/>
            </w:tcBorders>
            <w:vAlign w:val="center"/>
          </w:tcPr>
          <w:p w14:paraId="300E2889">
            <w:pPr>
              <w:widowControl/>
              <w:jc w:val="center"/>
              <w:textAlignment w:val="center"/>
              <w:rPr>
                <w:rFonts w:ascii="Times New Roman Regular" w:hAnsi="Times New Roman Regular"/>
                <w:kern w:val="0"/>
              </w:rPr>
            </w:pPr>
            <w:r>
              <w:rPr>
                <w:rFonts w:ascii="Times New Roman Regular" w:hAnsi="Times New Roman Regular"/>
                <w:color w:val="000000"/>
                <w:kern w:val="0"/>
              </w:rPr>
              <w:t>3.49 (2.95)</w:t>
            </w:r>
          </w:p>
        </w:tc>
        <w:tc>
          <w:tcPr>
            <w:tcW w:w="1443" w:type="dxa"/>
            <w:tcBorders>
              <w:top w:val="nil"/>
              <w:left w:val="nil"/>
              <w:bottom w:val="nil"/>
              <w:right w:val="nil"/>
            </w:tcBorders>
            <w:vAlign w:val="center"/>
          </w:tcPr>
          <w:p w14:paraId="2A35CA97">
            <w:pPr>
              <w:widowControl/>
              <w:jc w:val="center"/>
              <w:textAlignment w:val="center"/>
              <w:rPr>
                <w:rFonts w:ascii="Times New Roman Regular" w:hAnsi="Times New Roman Regular"/>
                <w:kern w:val="0"/>
              </w:rPr>
            </w:pPr>
            <w:r>
              <w:rPr>
                <w:rFonts w:ascii="Times New Roman Regular" w:hAnsi="Times New Roman Regular"/>
                <w:color w:val="000000"/>
                <w:kern w:val="0"/>
              </w:rPr>
              <w:t>11.22 (9.54)</w:t>
            </w:r>
          </w:p>
        </w:tc>
      </w:tr>
      <w:tr w14:paraId="457A192F">
        <w:tc>
          <w:tcPr>
            <w:tcW w:w="2314" w:type="dxa"/>
            <w:tcBorders>
              <w:top w:val="nil"/>
              <w:left w:val="nil"/>
              <w:bottom w:val="nil"/>
              <w:right w:val="nil"/>
            </w:tcBorders>
            <w:vAlign w:val="center"/>
          </w:tcPr>
          <w:p w14:paraId="4925E5A0">
            <w:pPr>
              <w:widowControl/>
              <w:jc w:val="left"/>
              <w:textAlignment w:val="center"/>
              <w:rPr>
                <w:rFonts w:ascii="Times New Roman Regular" w:hAnsi="Times New Roman Regular"/>
                <w:kern w:val="0"/>
              </w:rPr>
            </w:pPr>
            <w:r>
              <w:rPr>
                <w:rFonts w:ascii="Times New Roman Regular" w:hAnsi="Times New Roman Regular"/>
                <w:color w:val="000000"/>
                <w:kern w:val="0"/>
              </w:rPr>
              <w:t>Skin fissures#</w:t>
            </w:r>
          </w:p>
        </w:tc>
        <w:tc>
          <w:tcPr>
            <w:tcW w:w="4034" w:type="dxa"/>
            <w:tcBorders>
              <w:top w:val="nil"/>
              <w:left w:val="nil"/>
              <w:bottom w:val="nil"/>
              <w:right w:val="nil"/>
            </w:tcBorders>
            <w:vAlign w:val="center"/>
          </w:tcPr>
          <w:p w14:paraId="4DE6F7C7">
            <w:pPr>
              <w:widowControl/>
              <w:jc w:val="left"/>
              <w:textAlignment w:val="center"/>
              <w:rPr>
                <w:rFonts w:ascii="Times New Roman Regular" w:hAnsi="Times New Roman Regular"/>
                <w:kern w:val="0"/>
              </w:rPr>
            </w:pPr>
            <w:r>
              <w:rPr>
                <w:rFonts w:ascii="Times New Roman Regular" w:hAnsi="Times New Roman Regular"/>
                <w:color w:val="000000"/>
                <w:kern w:val="0"/>
              </w:rPr>
              <w:t>Skin and subcutaneous tissue disorders#</w:t>
            </w:r>
          </w:p>
        </w:tc>
        <w:tc>
          <w:tcPr>
            <w:tcW w:w="1166" w:type="dxa"/>
            <w:tcBorders>
              <w:top w:val="nil"/>
              <w:left w:val="nil"/>
              <w:bottom w:val="nil"/>
              <w:right w:val="nil"/>
            </w:tcBorders>
            <w:vAlign w:val="center"/>
          </w:tcPr>
          <w:p w14:paraId="30BC602A">
            <w:pPr>
              <w:widowControl/>
              <w:jc w:val="center"/>
              <w:textAlignment w:val="center"/>
              <w:rPr>
                <w:rFonts w:ascii="Times New Roman Regular" w:hAnsi="Times New Roman Regular"/>
                <w:kern w:val="0"/>
              </w:rPr>
            </w:pPr>
            <w:r>
              <w:rPr>
                <w:rFonts w:ascii="Times New Roman Regular" w:hAnsi="Times New Roman Regular"/>
                <w:color w:val="000000"/>
                <w:kern w:val="0"/>
              </w:rPr>
              <w:t>135</w:t>
            </w:r>
          </w:p>
        </w:tc>
        <w:tc>
          <w:tcPr>
            <w:tcW w:w="1913" w:type="dxa"/>
            <w:tcBorders>
              <w:top w:val="nil"/>
              <w:left w:val="nil"/>
              <w:bottom w:val="nil"/>
              <w:right w:val="nil"/>
            </w:tcBorders>
            <w:vAlign w:val="center"/>
          </w:tcPr>
          <w:p w14:paraId="45C2010D">
            <w:pPr>
              <w:widowControl/>
              <w:jc w:val="center"/>
              <w:textAlignment w:val="center"/>
              <w:rPr>
                <w:rFonts w:ascii="Times New Roman Regular" w:hAnsi="Times New Roman Regular"/>
                <w:kern w:val="0"/>
              </w:rPr>
            </w:pPr>
            <w:r>
              <w:rPr>
                <w:rFonts w:ascii="Times New Roman Regular" w:hAnsi="Times New Roman Regular"/>
                <w:color w:val="000000"/>
                <w:kern w:val="0"/>
              </w:rPr>
              <w:t>13 (10.94-15.44)</w:t>
            </w:r>
          </w:p>
        </w:tc>
        <w:tc>
          <w:tcPr>
            <w:tcW w:w="1982" w:type="dxa"/>
            <w:tcBorders>
              <w:top w:val="nil"/>
              <w:left w:val="nil"/>
              <w:bottom w:val="nil"/>
              <w:right w:val="nil"/>
            </w:tcBorders>
            <w:vAlign w:val="center"/>
          </w:tcPr>
          <w:p w14:paraId="3EAF28BD">
            <w:pPr>
              <w:widowControl/>
              <w:jc w:val="center"/>
              <w:textAlignment w:val="center"/>
              <w:rPr>
                <w:rFonts w:ascii="Times New Roman Regular" w:hAnsi="Times New Roman Regular"/>
                <w:kern w:val="0"/>
              </w:rPr>
            </w:pPr>
            <w:r>
              <w:rPr>
                <w:rFonts w:ascii="Times New Roman Regular" w:hAnsi="Times New Roman Regular"/>
                <w:color w:val="000000"/>
                <w:kern w:val="0"/>
              </w:rPr>
              <w:t>12.94 (10.9-15.36)</w:t>
            </w:r>
          </w:p>
        </w:tc>
        <w:tc>
          <w:tcPr>
            <w:tcW w:w="1322" w:type="dxa"/>
            <w:tcBorders>
              <w:top w:val="nil"/>
              <w:left w:val="nil"/>
              <w:bottom w:val="nil"/>
              <w:right w:val="nil"/>
            </w:tcBorders>
            <w:vAlign w:val="center"/>
          </w:tcPr>
          <w:p w14:paraId="60BAAC68">
            <w:pPr>
              <w:widowControl/>
              <w:jc w:val="center"/>
              <w:textAlignment w:val="center"/>
              <w:rPr>
                <w:rFonts w:ascii="Times New Roman Regular" w:hAnsi="Times New Roman Regular"/>
                <w:kern w:val="0"/>
              </w:rPr>
            </w:pPr>
            <w:r>
              <w:rPr>
                <w:rFonts w:ascii="Times New Roman Regular" w:hAnsi="Times New Roman Regular"/>
                <w:color w:val="000000"/>
                <w:kern w:val="0"/>
              </w:rPr>
              <w:t>3.65 (3.07)</w:t>
            </w:r>
          </w:p>
        </w:tc>
        <w:tc>
          <w:tcPr>
            <w:tcW w:w="1443" w:type="dxa"/>
            <w:tcBorders>
              <w:top w:val="nil"/>
              <w:left w:val="nil"/>
              <w:bottom w:val="nil"/>
              <w:right w:val="nil"/>
            </w:tcBorders>
            <w:vAlign w:val="center"/>
          </w:tcPr>
          <w:p w14:paraId="7474F223">
            <w:pPr>
              <w:widowControl/>
              <w:jc w:val="center"/>
              <w:textAlignment w:val="center"/>
              <w:rPr>
                <w:rFonts w:ascii="Times New Roman Regular" w:hAnsi="Times New Roman Regular"/>
                <w:kern w:val="0"/>
              </w:rPr>
            </w:pPr>
            <w:r>
              <w:rPr>
                <w:rFonts w:ascii="Times New Roman Regular" w:hAnsi="Times New Roman Regular"/>
                <w:color w:val="000000"/>
                <w:kern w:val="0"/>
              </w:rPr>
              <w:t>12.51 (10.53)</w:t>
            </w:r>
          </w:p>
        </w:tc>
      </w:tr>
      <w:tr w14:paraId="2FF30A9A">
        <w:tc>
          <w:tcPr>
            <w:tcW w:w="2314" w:type="dxa"/>
            <w:tcBorders>
              <w:top w:val="nil"/>
              <w:left w:val="nil"/>
              <w:bottom w:val="nil"/>
              <w:right w:val="nil"/>
            </w:tcBorders>
            <w:vAlign w:val="center"/>
          </w:tcPr>
          <w:p w14:paraId="7824EC46">
            <w:pPr>
              <w:widowControl/>
              <w:jc w:val="left"/>
              <w:textAlignment w:val="center"/>
              <w:rPr>
                <w:rFonts w:ascii="Times New Roman Regular" w:hAnsi="Times New Roman Regular"/>
                <w:kern w:val="0"/>
              </w:rPr>
            </w:pPr>
            <w:r>
              <w:rPr>
                <w:rFonts w:ascii="Times New Roman Regular" w:hAnsi="Times New Roman Regular"/>
                <w:color w:val="000000"/>
                <w:kern w:val="0"/>
              </w:rPr>
              <w:t>Dry eye</w:t>
            </w:r>
          </w:p>
        </w:tc>
        <w:tc>
          <w:tcPr>
            <w:tcW w:w="4034" w:type="dxa"/>
            <w:tcBorders>
              <w:top w:val="nil"/>
              <w:left w:val="nil"/>
              <w:bottom w:val="nil"/>
              <w:right w:val="nil"/>
            </w:tcBorders>
            <w:vAlign w:val="center"/>
          </w:tcPr>
          <w:p w14:paraId="3B892F38">
            <w:pPr>
              <w:widowControl/>
              <w:jc w:val="left"/>
              <w:textAlignment w:val="center"/>
              <w:rPr>
                <w:rFonts w:ascii="Times New Roman Regular" w:hAnsi="Times New Roman Regular"/>
                <w:kern w:val="0"/>
              </w:rPr>
            </w:pPr>
            <w:r>
              <w:rPr>
                <w:rFonts w:ascii="Times New Roman Regular" w:hAnsi="Times New Roman Regular"/>
                <w:color w:val="000000"/>
                <w:kern w:val="0"/>
              </w:rPr>
              <w:t>Eye disorders</w:t>
            </w:r>
          </w:p>
        </w:tc>
        <w:tc>
          <w:tcPr>
            <w:tcW w:w="1166" w:type="dxa"/>
            <w:tcBorders>
              <w:top w:val="nil"/>
              <w:left w:val="nil"/>
              <w:bottom w:val="nil"/>
              <w:right w:val="nil"/>
            </w:tcBorders>
            <w:vAlign w:val="center"/>
          </w:tcPr>
          <w:p w14:paraId="18E53F81">
            <w:pPr>
              <w:widowControl/>
              <w:jc w:val="center"/>
              <w:textAlignment w:val="center"/>
              <w:rPr>
                <w:rFonts w:ascii="Times New Roman Regular" w:hAnsi="Times New Roman Regular"/>
                <w:kern w:val="0"/>
              </w:rPr>
            </w:pPr>
            <w:r>
              <w:rPr>
                <w:rFonts w:ascii="Times New Roman Regular" w:hAnsi="Times New Roman Regular"/>
                <w:color w:val="000000"/>
                <w:kern w:val="0"/>
              </w:rPr>
              <w:t>132</w:t>
            </w:r>
          </w:p>
        </w:tc>
        <w:tc>
          <w:tcPr>
            <w:tcW w:w="1913" w:type="dxa"/>
            <w:tcBorders>
              <w:top w:val="nil"/>
              <w:left w:val="nil"/>
              <w:bottom w:val="nil"/>
              <w:right w:val="nil"/>
            </w:tcBorders>
            <w:vAlign w:val="center"/>
          </w:tcPr>
          <w:p w14:paraId="2DC1E845">
            <w:pPr>
              <w:widowControl/>
              <w:jc w:val="center"/>
              <w:textAlignment w:val="center"/>
              <w:rPr>
                <w:rFonts w:ascii="Times New Roman Regular" w:hAnsi="Times New Roman Regular"/>
                <w:kern w:val="0"/>
              </w:rPr>
            </w:pPr>
            <w:r>
              <w:rPr>
                <w:rFonts w:ascii="Times New Roman Regular" w:hAnsi="Times New Roman Regular"/>
                <w:color w:val="000000"/>
                <w:kern w:val="0"/>
              </w:rPr>
              <w:t>3.3 (2.78-3.92)</w:t>
            </w:r>
          </w:p>
        </w:tc>
        <w:tc>
          <w:tcPr>
            <w:tcW w:w="1982" w:type="dxa"/>
            <w:tcBorders>
              <w:top w:val="nil"/>
              <w:left w:val="nil"/>
              <w:bottom w:val="nil"/>
              <w:right w:val="nil"/>
            </w:tcBorders>
            <w:vAlign w:val="center"/>
          </w:tcPr>
          <w:p w14:paraId="02F85F95">
            <w:pPr>
              <w:widowControl/>
              <w:jc w:val="center"/>
              <w:textAlignment w:val="center"/>
              <w:rPr>
                <w:rFonts w:ascii="Times New Roman Regular" w:hAnsi="Times New Roman Regular"/>
                <w:kern w:val="0"/>
              </w:rPr>
            </w:pPr>
            <w:r>
              <w:rPr>
                <w:rFonts w:ascii="Times New Roman Regular" w:hAnsi="Times New Roman Regular"/>
                <w:color w:val="000000"/>
                <w:kern w:val="0"/>
              </w:rPr>
              <w:t>3.29 (2.78-3.91)</w:t>
            </w:r>
          </w:p>
        </w:tc>
        <w:tc>
          <w:tcPr>
            <w:tcW w:w="1322" w:type="dxa"/>
            <w:tcBorders>
              <w:top w:val="nil"/>
              <w:left w:val="nil"/>
              <w:bottom w:val="nil"/>
              <w:right w:val="nil"/>
            </w:tcBorders>
            <w:vAlign w:val="center"/>
          </w:tcPr>
          <w:p w14:paraId="0D7799AB">
            <w:pPr>
              <w:widowControl/>
              <w:jc w:val="center"/>
              <w:textAlignment w:val="center"/>
              <w:rPr>
                <w:rFonts w:ascii="Times New Roman Regular" w:hAnsi="Times New Roman Regular"/>
                <w:kern w:val="0"/>
              </w:rPr>
            </w:pPr>
            <w:r>
              <w:rPr>
                <w:rFonts w:ascii="Times New Roman Regular" w:hAnsi="Times New Roman Regular"/>
                <w:color w:val="000000"/>
                <w:kern w:val="0"/>
              </w:rPr>
              <w:t>1.71 (1.14)</w:t>
            </w:r>
          </w:p>
        </w:tc>
        <w:tc>
          <w:tcPr>
            <w:tcW w:w="1443" w:type="dxa"/>
            <w:tcBorders>
              <w:top w:val="nil"/>
              <w:left w:val="nil"/>
              <w:bottom w:val="nil"/>
              <w:right w:val="nil"/>
            </w:tcBorders>
            <w:vAlign w:val="center"/>
          </w:tcPr>
          <w:p w14:paraId="404EF3FD">
            <w:pPr>
              <w:widowControl/>
              <w:jc w:val="center"/>
              <w:textAlignment w:val="center"/>
              <w:rPr>
                <w:rFonts w:ascii="Times New Roman Regular" w:hAnsi="Times New Roman Regular"/>
                <w:kern w:val="0"/>
              </w:rPr>
            </w:pPr>
            <w:r>
              <w:rPr>
                <w:rFonts w:ascii="Times New Roman Regular" w:hAnsi="Times New Roman Regular"/>
                <w:color w:val="000000"/>
                <w:kern w:val="0"/>
              </w:rPr>
              <w:t>3.27 (2.76)</w:t>
            </w:r>
          </w:p>
        </w:tc>
      </w:tr>
      <w:tr w14:paraId="76490BDA">
        <w:tc>
          <w:tcPr>
            <w:tcW w:w="2314" w:type="dxa"/>
            <w:tcBorders>
              <w:top w:val="nil"/>
              <w:left w:val="nil"/>
              <w:bottom w:val="nil"/>
              <w:right w:val="nil"/>
            </w:tcBorders>
            <w:vAlign w:val="center"/>
          </w:tcPr>
          <w:p w14:paraId="19EA79AF">
            <w:pPr>
              <w:widowControl/>
              <w:jc w:val="left"/>
              <w:textAlignment w:val="center"/>
              <w:rPr>
                <w:rFonts w:ascii="Times New Roman Regular" w:hAnsi="Times New Roman Regular"/>
                <w:kern w:val="0"/>
              </w:rPr>
            </w:pPr>
            <w:r>
              <w:rPr>
                <w:rFonts w:ascii="Times New Roman Regular" w:hAnsi="Times New Roman Regular"/>
                <w:color w:val="000000"/>
                <w:kern w:val="0"/>
              </w:rPr>
              <w:t>Interstitial lung disease#</w:t>
            </w:r>
          </w:p>
        </w:tc>
        <w:tc>
          <w:tcPr>
            <w:tcW w:w="4034" w:type="dxa"/>
            <w:tcBorders>
              <w:top w:val="nil"/>
              <w:left w:val="nil"/>
              <w:bottom w:val="nil"/>
              <w:right w:val="nil"/>
            </w:tcBorders>
            <w:vAlign w:val="center"/>
          </w:tcPr>
          <w:p w14:paraId="534AE9D7">
            <w:pPr>
              <w:widowControl/>
              <w:jc w:val="left"/>
              <w:textAlignment w:val="center"/>
              <w:rPr>
                <w:rFonts w:ascii="Times New Roman Regular" w:hAnsi="Times New Roman Regular"/>
                <w:kern w:val="0"/>
              </w:rPr>
            </w:pPr>
            <w:r>
              <w:rPr>
                <w:rFonts w:ascii="Times New Roman Regular" w:hAnsi="Times New Roman Regular"/>
                <w:color w:val="000000"/>
                <w:kern w:val="0"/>
              </w:rPr>
              <w:t>Immune system disorders#</w:t>
            </w:r>
          </w:p>
        </w:tc>
        <w:tc>
          <w:tcPr>
            <w:tcW w:w="1166" w:type="dxa"/>
            <w:tcBorders>
              <w:top w:val="nil"/>
              <w:left w:val="nil"/>
              <w:bottom w:val="nil"/>
              <w:right w:val="nil"/>
            </w:tcBorders>
            <w:vAlign w:val="center"/>
          </w:tcPr>
          <w:p w14:paraId="7BF9D0F1">
            <w:pPr>
              <w:widowControl/>
              <w:jc w:val="center"/>
              <w:textAlignment w:val="center"/>
              <w:rPr>
                <w:rFonts w:ascii="Times New Roman Regular" w:hAnsi="Times New Roman Regular"/>
                <w:kern w:val="0"/>
              </w:rPr>
            </w:pPr>
            <w:r>
              <w:rPr>
                <w:rFonts w:ascii="Times New Roman Regular" w:hAnsi="Times New Roman Regular"/>
                <w:color w:val="000000"/>
                <w:kern w:val="0"/>
              </w:rPr>
              <w:t>128</w:t>
            </w:r>
          </w:p>
        </w:tc>
        <w:tc>
          <w:tcPr>
            <w:tcW w:w="1913" w:type="dxa"/>
            <w:tcBorders>
              <w:top w:val="nil"/>
              <w:left w:val="nil"/>
              <w:bottom w:val="nil"/>
              <w:right w:val="nil"/>
            </w:tcBorders>
            <w:vAlign w:val="center"/>
          </w:tcPr>
          <w:p w14:paraId="39D1A6B6">
            <w:pPr>
              <w:widowControl/>
              <w:jc w:val="center"/>
              <w:textAlignment w:val="center"/>
              <w:rPr>
                <w:rFonts w:ascii="Times New Roman Regular" w:hAnsi="Times New Roman Regular"/>
                <w:kern w:val="0"/>
              </w:rPr>
            </w:pPr>
            <w:r>
              <w:rPr>
                <w:rFonts w:ascii="Times New Roman Regular" w:hAnsi="Times New Roman Regular"/>
                <w:color w:val="000000"/>
                <w:kern w:val="0"/>
              </w:rPr>
              <w:t>2.69 (2.26-3.21)</w:t>
            </w:r>
          </w:p>
        </w:tc>
        <w:tc>
          <w:tcPr>
            <w:tcW w:w="1982" w:type="dxa"/>
            <w:tcBorders>
              <w:top w:val="nil"/>
              <w:left w:val="nil"/>
              <w:bottom w:val="nil"/>
              <w:right w:val="nil"/>
            </w:tcBorders>
            <w:vAlign w:val="center"/>
          </w:tcPr>
          <w:p w14:paraId="3AF56304">
            <w:pPr>
              <w:widowControl/>
              <w:jc w:val="center"/>
              <w:textAlignment w:val="center"/>
              <w:rPr>
                <w:rFonts w:ascii="Times New Roman Regular" w:hAnsi="Times New Roman Regular"/>
                <w:kern w:val="0"/>
              </w:rPr>
            </w:pPr>
            <w:r>
              <w:rPr>
                <w:rFonts w:ascii="Times New Roman Regular" w:hAnsi="Times New Roman Regular"/>
                <w:color w:val="000000"/>
                <w:kern w:val="0"/>
              </w:rPr>
              <w:t>2.69 (2.26-3.2)</w:t>
            </w:r>
          </w:p>
        </w:tc>
        <w:tc>
          <w:tcPr>
            <w:tcW w:w="1322" w:type="dxa"/>
            <w:tcBorders>
              <w:top w:val="nil"/>
              <w:left w:val="nil"/>
              <w:bottom w:val="nil"/>
              <w:right w:val="nil"/>
            </w:tcBorders>
            <w:vAlign w:val="center"/>
          </w:tcPr>
          <w:p w14:paraId="72E4748E">
            <w:pPr>
              <w:widowControl/>
              <w:jc w:val="center"/>
              <w:textAlignment w:val="center"/>
              <w:rPr>
                <w:rFonts w:ascii="Times New Roman Regular" w:hAnsi="Times New Roman Regular"/>
                <w:kern w:val="0"/>
              </w:rPr>
            </w:pPr>
            <w:r>
              <w:rPr>
                <w:rFonts w:ascii="Times New Roman Regular" w:hAnsi="Times New Roman Regular"/>
                <w:color w:val="000000"/>
                <w:kern w:val="0"/>
              </w:rPr>
              <w:t>1.42 (0.84)</w:t>
            </w:r>
          </w:p>
        </w:tc>
        <w:tc>
          <w:tcPr>
            <w:tcW w:w="1443" w:type="dxa"/>
            <w:tcBorders>
              <w:top w:val="nil"/>
              <w:left w:val="nil"/>
              <w:bottom w:val="nil"/>
              <w:right w:val="nil"/>
            </w:tcBorders>
            <w:vAlign w:val="center"/>
          </w:tcPr>
          <w:p w14:paraId="41585F33">
            <w:pPr>
              <w:widowControl/>
              <w:jc w:val="center"/>
              <w:textAlignment w:val="center"/>
              <w:rPr>
                <w:rFonts w:ascii="Times New Roman Regular" w:hAnsi="Times New Roman Regular"/>
                <w:kern w:val="0"/>
              </w:rPr>
            </w:pPr>
            <w:r>
              <w:rPr>
                <w:rFonts w:ascii="Times New Roman Regular" w:hAnsi="Times New Roman Regular"/>
                <w:color w:val="000000"/>
                <w:kern w:val="0"/>
              </w:rPr>
              <w:t>2.67 (2.25)</w:t>
            </w:r>
          </w:p>
        </w:tc>
      </w:tr>
      <w:tr w14:paraId="61FDDF38">
        <w:tc>
          <w:tcPr>
            <w:tcW w:w="2314" w:type="dxa"/>
            <w:tcBorders>
              <w:top w:val="nil"/>
              <w:left w:val="nil"/>
              <w:bottom w:val="nil"/>
              <w:right w:val="nil"/>
            </w:tcBorders>
            <w:vAlign w:val="center"/>
          </w:tcPr>
          <w:p w14:paraId="6B58B2B6">
            <w:pPr>
              <w:widowControl/>
              <w:jc w:val="left"/>
              <w:textAlignment w:val="center"/>
              <w:rPr>
                <w:rFonts w:ascii="Times New Roman Regular" w:hAnsi="Times New Roman Regular"/>
                <w:kern w:val="0"/>
              </w:rPr>
            </w:pPr>
            <w:r>
              <w:rPr>
                <w:rFonts w:ascii="Times New Roman Regular" w:hAnsi="Times New Roman Regular"/>
                <w:color w:val="000000"/>
                <w:kern w:val="0"/>
              </w:rPr>
              <w:t>Skin disorder#</w:t>
            </w:r>
          </w:p>
        </w:tc>
        <w:tc>
          <w:tcPr>
            <w:tcW w:w="4034" w:type="dxa"/>
            <w:tcBorders>
              <w:top w:val="nil"/>
              <w:left w:val="nil"/>
              <w:bottom w:val="nil"/>
              <w:right w:val="nil"/>
            </w:tcBorders>
            <w:vAlign w:val="center"/>
          </w:tcPr>
          <w:p w14:paraId="44CCEE5F">
            <w:pPr>
              <w:widowControl/>
              <w:jc w:val="left"/>
              <w:textAlignment w:val="center"/>
              <w:rPr>
                <w:rFonts w:ascii="Times New Roman Regular" w:hAnsi="Times New Roman Regular"/>
                <w:kern w:val="0"/>
              </w:rPr>
            </w:pPr>
            <w:r>
              <w:rPr>
                <w:rFonts w:ascii="Times New Roman Regular" w:hAnsi="Times New Roman Regular"/>
                <w:color w:val="000000"/>
                <w:kern w:val="0"/>
              </w:rPr>
              <w:t>Skin and subcutaneous tissue disorders#</w:t>
            </w:r>
          </w:p>
        </w:tc>
        <w:tc>
          <w:tcPr>
            <w:tcW w:w="1166" w:type="dxa"/>
            <w:tcBorders>
              <w:top w:val="nil"/>
              <w:left w:val="nil"/>
              <w:bottom w:val="nil"/>
              <w:right w:val="nil"/>
            </w:tcBorders>
            <w:vAlign w:val="center"/>
          </w:tcPr>
          <w:p w14:paraId="04E18EE7">
            <w:pPr>
              <w:widowControl/>
              <w:jc w:val="center"/>
              <w:textAlignment w:val="center"/>
              <w:rPr>
                <w:rFonts w:ascii="Times New Roman Regular" w:hAnsi="Times New Roman Regular"/>
                <w:kern w:val="0"/>
              </w:rPr>
            </w:pPr>
            <w:r>
              <w:rPr>
                <w:rFonts w:ascii="Times New Roman Regular" w:hAnsi="Times New Roman Regular"/>
                <w:color w:val="000000"/>
                <w:kern w:val="0"/>
              </w:rPr>
              <w:t>117</w:t>
            </w:r>
          </w:p>
        </w:tc>
        <w:tc>
          <w:tcPr>
            <w:tcW w:w="1913" w:type="dxa"/>
            <w:tcBorders>
              <w:top w:val="nil"/>
              <w:left w:val="nil"/>
              <w:bottom w:val="nil"/>
              <w:right w:val="nil"/>
            </w:tcBorders>
            <w:vAlign w:val="center"/>
          </w:tcPr>
          <w:p w14:paraId="5C33E5F8">
            <w:pPr>
              <w:widowControl/>
              <w:jc w:val="center"/>
              <w:textAlignment w:val="center"/>
              <w:rPr>
                <w:rFonts w:ascii="Times New Roman Regular" w:hAnsi="Times New Roman Regular"/>
                <w:kern w:val="0"/>
              </w:rPr>
            </w:pPr>
            <w:r>
              <w:rPr>
                <w:rFonts w:ascii="Times New Roman Regular" w:hAnsi="Times New Roman Regular"/>
                <w:color w:val="000000"/>
                <w:kern w:val="0"/>
              </w:rPr>
              <w:t>3.39 (2.82-4.06)</w:t>
            </w:r>
          </w:p>
        </w:tc>
        <w:tc>
          <w:tcPr>
            <w:tcW w:w="1982" w:type="dxa"/>
            <w:tcBorders>
              <w:top w:val="nil"/>
              <w:left w:val="nil"/>
              <w:bottom w:val="nil"/>
              <w:right w:val="nil"/>
            </w:tcBorders>
            <w:vAlign w:val="center"/>
          </w:tcPr>
          <w:p w14:paraId="4E0A41D2">
            <w:pPr>
              <w:widowControl/>
              <w:jc w:val="center"/>
              <w:textAlignment w:val="center"/>
              <w:rPr>
                <w:rFonts w:ascii="Times New Roman Regular" w:hAnsi="Times New Roman Regular"/>
                <w:kern w:val="0"/>
              </w:rPr>
            </w:pPr>
            <w:r>
              <w:rPr>
                <w:rFonts w:ascii="Times New Roman Regular" w:hAnsi="Times New Roman Regular"/>
                <w:color w:val="000000"/>
                <w:kern w:val="0"/>
              </w:rPr>
              <w:t>3.38 (2.82-4.05)</w:t>
            </w:r>
          </w:p>
        </w:tc>
        <w:tc>
          <w:tcPr>
            <w:tcW w:w="1322" w:type="dxa"/>
            <w:tcBorders>
              <w:top w:val="nil"/>
              <w:left w:val="nil"/>
              <w:bottom w:val="nil"/>
              <w:right w:val="nil"/>
            </w:tcBorders>
            <w:vAlign w:val="center"/>
          </w:tcPr>
          <w:p w14:paraId="7A8BF040">
            <w:pPr>
              <w:widowControl/>
              <w:jc w:val="center"/>
              <w:textAlignment w:val="center"/>
              <w:rPr>
                <w:rFonts w:ascii="Times New Roman Regular" w:hAnsi="Times New Roman Regular"/>
                <w:kern w:val="0"/>
              </w:rPr>
            </w:pPr>
            <w:r>
              <w:rPr>
                <w:rFonts w:ascii="Times New Roman Regular" w:hAnsi="Times New Roman Regular"/>
                <w:color w:val="000000"/>
                <w:kern w:val="0"/>
              </w:rPr>
              <w:t>1.75 (1.14)</w:t>
            </w:r>
          </w:p>
        </w:tc>
        <w:tc>
          <w:tcPr>
            <w:tcW w:w="1443" w:type="dxa"/>
            <w:tcBorders>
              <w:top w:val="nil"/>
              <w:left w:val="nil"/>
              <w:bottom w:val="nil"/>
              <w:right w:val="nil"/>
            </w:tcBorders>
            <w:vAlign w:val="center"/>
          </w:tcPr>
          <w:p w14:paraId="658CB4B8">
            <w:pPr>
              <w:widowControl/>
              <w:jc w:val="center"/>
              <w:textAlignment w:val="center"/>
              <w:rPr>
                <w:rFonts w:ascii="Times New Roman Regular" w:hAnsi="Times New Roman Regular"/>
                <w:kern w:val="0"/>
              </w:rPr>
            </w:pPr>
            <w:r>
              <w:rPr>
                <w:rFonts w:ascii="Times New Roman Regular" w:hAnsi="Times New Roman Regular"/>
                <w:color w:val="000000"/>
                <w:kern w:val="0"/>
              </w:rPr>
              <w:t>3.35 (2.79)</w:t>
            </w:r>
          </w:p>
        </w:tc>
      </w:tr>
      <w:tr w14:paraId="6AFBCF42">
        <w:tc>
          <w:tcPr>
            <w:tcW w:w="2314" w:type="dxa"/>
            <w:tcBorders>
              <w:top w:val="nil"/>
              <w:left w:val="nil"/>
              <w:bottom w:val="nil"/>
              <w:right w:val="nil"/>
            </w:tcBorders>
            <w:vAlign w:val="center"/>
          </w:tcPr>
          <w:p w14:paraId="63694228">
            <w:pPr>
              <w:widowControl/>
              <w:jc w:val="left"/>
              <w:textAlignment w:val="center"/>
              <w:rPr>
                <w:rFonts w:ascii="Times New Roman Regular" w:hAnsi="Times New Roman Regular"/>
                <w:kern w:val="0"/>
              </w:rPr>
            </w:pPr>
            <w:r>
              <w:rPr>
                <w:rFonts w:ascii="Times New Roman Regular" w:hAnsi="Times New Roman Regular"/>
                <w:color w:val="000000"/>
                <w:kern w:val="0"/>
              </w:rPr>
              <w:t>Paronychia#</w:t>
            </w:r>
          </w:p>
        </w:tc>
        <w:tc>
          <w:tcPr>
            <w:tcW w:w="4034" w:type="dxa"/>
            <w:tcBorders>
              <w:top w:val="nil"/>
              <w:left w:val="nil"/>
              <w:bottom w:val="nil"/>
              <w:right w:val="nil"/>
            </w:tcBorders>
            <w:vAlign w:val="center"/>
          </w:tcPr>
          <w:p w14:paraId="581BD810">
            <w:pPr>
              <w:widowControl/>
              <w:jc w:val="left"/>
              <w:textAlignment w:val="center"/>
              <w:rPr>
                <w:rFonts w:ascii="Times New Roman Regular" w:hAnsi="Times New Roman Regular"/>
                <w:kern w:val="0"/>
              </w:rPr>
            </w:pPr>
            <w:r>
              <w:rPr>
                <w:rFonts w:ascii="Times New Roman Regular" w:hAnsi="Times New Roman Regular"/>
                <w:color w:val="000000"/>
                <w:kern w:val="0"/>
              </w:rPr>
              <w:t>Infections and infestations#</w:t>
            </w:r>
          </w:p>
        </w:tc>
        <w:tc>
          <w:tcPr>
            <w:tcW w:w="1166" w:type="dxa"/>
            <w:tcBorders>
              <w:top w:val="nil"/>
              <w:left w:val="nil"/>
              <w:bottom w:val="nil"/>
              <w:right w:val="nil"/>
            </w:tcBorders>
            <w:vAlign w:val="center"/>
          </w:tcPr>
          <w:p w14:paraId="3F3CCE5B">
            <w:pPr>
              <w:widowControl/>
              <w:jc w:val="center"/>
              <w:textAlignment w:val="center"/>
              <w:rPr>
                <w:rFonts w:ascii="Times New Roman Regular" w:hAnsi="Times New Roman Regular"/>
                <w:kern w:val="0"/>
              </w:rPr>
            </w:pPr>
            <w:r>
              <w:rPr>
                <w:rFonts w:ascii="Times New Roman Regular" w:hAnsi="Times New Roman Regular"/>
                <w:color w:val="000000"/>
                <w:kern w:val="0"/>
              </w:rPr>
              <w:t>116</w:t>
            </w:r>
          </w:p>
        </w:tc>
        <w:tc>
          <w:tcPr>
            <w:tcW w:w="1913" w:type="dxa"/>
            <w:tcBorders>
              <w:top w:val="nil"/>
              <w:left w:val="nil"/>
              <w:bottom w:val="nil"/>
              <w:right w:val="nil"/>
            </w:tcBorders>
            <w:vAlign w:val="center"/>
          </w:tcPr>
          <w:p w14:paraId="1AC54C28">
            <w:pPr>
              <w:widowControl/>
              <w:jc w:val="center"/>
              <w:textAlignment w:val="center"/>
              <w:rPr>
                <w:rFonts w:ascii="Times New Roman Regular" w:hAnsi="Times New Roman Regular"/>
                <w:kern w:val="0"/>
              </w:rPr>
            </w:pPr>
            <w:r>
              <w:rPr>
                <w:rFonts w:ascii="Times New Roman Regular" w:hAnsi="Times New Roman Regular"/>
                <w:color w:val="000000"/>
                <w:kern w:val="0"/>
              </w:rPr>
              <w:t>31.07 (25.69-37.59)</w:t>
            </w:r>
          </w:p>
        </w:tc>
        <w:tc>
          <w:tcPr>
            <w:tcW w:w="1982" w:type="dxa"/>
            <w:tcBorders>
              <w:top w:val="nil"/>
              <w:left w:val="nil"/>
              <w:bottom w:val="nil"/>
              <w:right w:val="nil"/>
            </w:tcBorders>
            <w:vAlign w:val="center"/>
          </w:tcPr>
          <w:p w14:paraId="1E075EDE">
            <w:pPr>
              <w:widowControl/>
              <w:jc w:val="center"/>
              <w:textAlignment w:val="center"/>
              <w:rPr>
                <w:rFonts w:ascii="Times New Roman Regular" w:hAnsi="Times New Roman Regular"/>
                <w:kern w:val="0"/>
              </w:rPr>
            </w:pPr>
            <w:r>
              <w:rPr>
                <w:rFonts w:ascii="Times New Roman Regular" w:hAnsi="Times New Roman Regular"/>
                <w:color w:val="000000"/>
                <w:kern w:val="0"/>
              </w:rPr>
              <w:t>30.94 (25.6-37.4)</w:t>
            </w:r>
          </w:p>
        </w:tc>
        <w:tc>
          <w:tcPr>
            <w:tcW w:w="1322" w:type="dxa"/>
            <w:tcBorders>
              <w:top w:val="nil"/>
              <w:left w:val="nil"/>
              <w:bottom w:val="nil"/>
              <w:right w:val="nil"/>
            </w:tcBorders>
            <w:vAlign w:val="center"/>
          </w:tcPr>
          <w:p w14:paraId="1BCF374D">
            <w:pPr>
              <w:widowControl/>
              <w:jc w:val="center"/>
              <w:textAlignment w:val="center"/>
              <w:rPr>
                <w:rFonts w:ascii="Times New Roman Regular" w:hAnsi="Times New Roman Regular"/>
                <w:kern w:val="0"/>
              </w:rPr>
            </w:pPr>
            <w:r>
              <w:rPr>
                <w:rFonts w:ascii="Times New Roman Regular" w:hAnsi="Times New Roman Regular"/>
                <w:color w:val="000000"/>
                <w:kern w:val="0"/>
              </w:rPr>
              <w:t>4.83 (4.2)</w:t>
            </w:r>
          </w:p>
        </w:tc>
        <w:tc>
          <w:tcPr>
            <w:tcW w:w="1443" w:type="dxa"/>
            <w:tcBorders>
              <w:top w:val="nil"/>
              <w:left w:val="nil"/>
              <w:bottom w:val="nil"/>
              <w:right w:val="nil"/>
            </w:tcBorders>
            <w:vAlign w:val="center"/>
          </w:tcPr>
          <w:p w14:paraId="778957D7">
            <w:pPr>
              <w:widowControl/>
              <w:jc w:val="center"/>
              <w:textAlignment w:val="center"/>
              <w:rPr>
                <w:rFonts w:ascii="Times New Roman Regular" w:hAnsi="Times New Roman Regular"/>
                <w:kern w:val="0"/>
              </w:rPr>
            </w:pPr>
            <w:r>
              <w:rPr>
                <w:rFonts w:ascii="Times New Roman Regular" w:hAnsi="Times New Roman Regular"/>
                <w:color w:val="000000"/>
                <w:kern w:val="0"/>
              </w:rPr>
              <w:t>28.49 (23.55)</w:t>
            </w:r>
          </w:p>
        </w:tc>
      </w:tr>
      <w:tr w14:paraId="5AB8451A">
        <w:tc>
          <w:tcPr>
            <w:tcW w:w="2314" w:type="dxa"/>
            <w:tcBorders>
              <w:top w:val="nil"/>
              <w:left w:val="nil"/>
              <w:bottom w:val="nil"/>
              <w:right w:val="nil"/>
            </w:tcBorders>
            <w:vAlign w:val="center"/>
          </w:tcPr>
          <w:p w14:paraId="594B166E">
            <w:pPr>
              <w:widowControl/>
              <w:jc w:val="left"/>
              <w:textAlignment w:val="center"/>
              <w:rPr>
                <w:rFonts w:ascii="Times New Roman Regular" w:hAnsi="Times New Roman Regular"/>
                <w:kern w:val="0"/>
              </w:rPr>
            </w:pPr>
            <w:r>
              <w:rPr>
                <w:rFonts w:ascii="Times New Roman Regular" w:hAnsi="Times New Roman Regular"/>
                <w:color w:val="000000"/>
                <w:kern w:val="0"/>
              </w:rPr>
              <w:t>Skin ulcer#</w:t>
            </w:r>
          </w:p>
        </w:tc>
        <w:tc>
          <w:tcPr>
            <w:tcW w:w="4034" w:type="dxa"/>
            <w:tcBorders>
              <w:top w:val="nil"/>
              <w:left w:val="nil"/>
              <w:bottom w:val="nil"/>
              <w:right w:val="nil"/>
            </w:tcBorders>
            <w:vAlign w:val="center"/>
          </w:tcPr>
          <w:p w14:paraId="30A852C1">
            <w:pPr>
              <w:widowControl/>
              <w:jc w:val="left"/>
              <w:textAlignment w:val="center"/>
              <w:rPr>
                <w:rFonts w:ascii="Times New Roman Regular" w:hAnsi="Times New Roman Regular"/>
                <w:kern w:val="0"/>
              </w:rPr>
            </w:pPr>
            <w:r>
              <w:rPr>
                <w:rFonts w:ascii="Times New Roman Regular" w:hAnsi="Times New Roman Regular"/>
                <w:color w:val="000000"/>
                <w:kern w:val="0"/>
              </w:rPr>
              <w:t>Vascular disorders#</w:t>
            </w:r>
          </w:p>
        </w:tc>
        <w:tc>
          <w:tcPr>
            <w:tcW w:w="1166" w:type="dxa"/>
            <w:tcBorders>
              <w:top w:val="nil"/>
              <w:left w:val="nil"/>
              <w:bottom w:val="nil"/>
              <w:right w:val="nil"/>
            </w:tcBorders>
            <w:vAlign w:val="center"/>
          </w:tcPr>
          <w:p w14:paraId="447B72F5">
            <w:pPr>
              <w:widowControl/>
              <w:jc w:val="center"/>
              <w:textAlignment w:val="center"/>
              <w:rPr>
                <w:rFonts w:ascii="Times New Roman Regular" w:hAnsi="Times New Roman Regular"/>
                <w:kern w:val="0"/>
              </w:rPr>
            </w:pPr>
            <w:r>
              <w:rPr>
                <w:rFonts w:ascii="Times New Roman Regular" w:hAnsi="Times New Roman Regular"/>
                <w:color w:val="000000"/>
                <w:kern w:val="0"/>
              </w:rPr>
              <w:t>113</w:t>
            </w:r>
          </w:p>
        </w:tc>
        <w:tc>
          <w:tcPr>
            <w:tcW w:w="1913" w:type="dxa"/>
            <w:tcBorders>
              <w:top w:val="nil"/>
              <w:left w:val="nil"/>
              <w:bottom w:val="nil"/>
              <w:right w:val="nil"/>
            </w:tcBorders>
            <w:vAlign w:val="center"/>
          </w:tcPr>
          <w:p w14:paraId="4EF5E75C">
            <w:pPr>
              <w:widowControl/>
              <w:jc w:val="center"/>
              <w:textAlignment w:val="center"/>
              <w:rPr>
                <w:rFonts w:ascii="Times New Roman Regular" w:hAnsi="Times New Roman Regular"/>
                <w:kern w:val="0"/>
              </w:rPr>
            </w:pPr>
            <w:r>
              <w:rPr>
                <w:rFonts w:ascii="Times New Roman Regular" w:hAnsi="Times New Roman Regular"/>
                <w:color w:val="000000"/>
                <w:kern w:val="0"/>
              </w:rPr>
              <w:t>4.28 (3.55-5.15)</w:t>
            </w:r>
          </w:p>
        </w:tc>
        <w:tc>
          <w:tcPr>
            <w:tcW w:w="1982" w:type="dxa"/>
            <w:tcBorders>
              <w:top w:val="nil"/>
              <w:left w:val="nil"/>
              <w:bottom w:val="nil"/>
              <w:right w:val="nil"/>
            </w:tcBorders>
            <w:vAlign w:val="center"/>
          </w:tcPr>
          <w:p w14:paraId="4AB9A3C4">
            <w:pPr>
              <w:widowControl/>
              <w:jc w:val="center"/>
              <w:textAlignment w:val="center"/>
              <w:rPr>
                <w:rFonts w:ascii="Times New Roman Regular" w:hAnsi="Times New Roman Regular"/>
                <w:kern w:val="0"/>
              </w:rPr>
            </w:pPr>
            <w:r>
              <w:rPr>
                <w:rFonts w:ascii="Times New Roman Regular" w:hAnsi="Times New Roman Regular"/>
                <w:color w:val="000000"/>
                <w:kern w:val="0"/>
              </w:rPr>
              <w:t>4.26 (3.54-5.13)</w:t>
            </w:r>
          </w:p>
        </w:tc>
        <w:tc>
          <w:tcPr>
            <w:tcW w:w="1322" w:type="dxa"/>
            <w:tcBorders>
              <w:top w:val="nil"/>
              <w:left w:val="nil"/>
              <w:bottom w:val="nil"/>
              <w:right w:val="nil"/>
            </w:tcBorders>
            <w:vAlign w:val="center"/>
          </w:tcPr>
          <w:p w14:paraId="4ECC6CE5">
            <w:pPr>
              <w:widowControl/>
              <w:jc w:val="center"/>
              <w:textAlignment w:val="center"/>
              <w:rPr>
                <w:rFonts w:ascii="Times New Roman Regular" w:hAnsi="Times New Roman Regular"/>
                <w:kern w:val="0"/>
              </w:rPr>
            </w:pPr>
            <w:r>
              <w:rPr>
                <w:rFonts w:ascii="Times New Roman Regular" w:hAnsi="Times New Roman Regular"/>
                <w:color w:val="000000"/>
                <w:kern w:val="0"/>
              </w:rPr>
              <w:t>2.08 (1.46)</w:t>
            </w:r>
          </w:p>
        </w:tc>
        <w:tc>
          <w:tcPr>
            <w:tcW w:w="1443" w:type="dxa"/>
            <w:tcBorders>
              <w:top w:val="nil"/>
              <w:left w:val="nil"/>
              <w:bottom w:val="nil"/>
              <w:right w:val="nil"/>
            </w:tcBorders>
            <w:vAlign w:val="center"/>
          </w:tcPr>
          <w:p w14:paraId="137A6D1A">
            <w:pPr>
              <w:widowControl/>
              <w:jc w:val="center"/>
              <w:textAlignment w:val="center"/>
              <w:rPr>
                <w:rFonts w:ascii="Times New Roman Regular" w:hAnsi="Times New Roman Regular"/>
                <w:kern w:val="0"/>
              </w:rPr>
            </w:pPr>
            <w:r>
              <w:rPr>
                <w:rFonts w:ascii="Times New Roman Regular" w:hAnsi="Times New Roman Regular"/>
                <w:color w:val="000000"/>
                <w:kern w:val="0"/>
              </w:rPr>
              <w:t>4.22 (3.51)</w:t>
            </w:r>
          </w:p>
        </w:tc>
      </w:tr>
      <w:tr w14:paraId="31F31617">
        <w:tc>
          <w:tcPr>
            <w:tcW w:w="2314" w:type="dxa"/>
            <w:tcBorders>
              <w:top w:val="nil"/>
              <w:left w:val="nil"/>
              <w:bottom w:val="nil"/>
              <w:right w:val="nil"/>
            </w:tcBorders>
            <w:vAlign w:val="center"/>
          </w:tcPr>
          <w:p w14:paraId="6A3FDB4C">
            <w:pPr>
              <w:widowControl/>
              <w:jc w:val="left"/>
              <w:textAlignment w:val="center"/>
              <w:rPr>
                <w:rFonts w:ascii="Times New Roman Regular" w:hAnsi="Times New Roman Regular"/>
                <w:kern w:val="0"/>
              </w:rPr>
            </w:pPr>
            <w:r>
              <w:rPr>
                <w:rFonts w:ascii="Times New Roman Regular" w:hAnsi="Times New Roman Regular"/>
                <w:color w:val="000000"/>
                <w:kern w:val="0"/>
              </w:rPr>
              <w:t>Metastasis</w:t>
            </w:r>
          </w:p>
        </w:tc>
        <w:tc>
          <w:tcPr>
            <w:tcW w:w="4034" w:type="dxa"/>
            <w:tcBorders>
              <w:top w:val="nil"/>
              <w:left w:val="nil"/>
              <w:bottom w:val="nil"/>
              <w:right w:val="nil"/>
            </w:tcBorders>
            <w:vAlign w:val="center"/>
          </w:tcPr>
          <w:p w14:paraId="2ECCDF2F">
            <w:pPr>
              <w:widowControl/>
              <w:jc w:val="left"/>
              <w:textAlignment w:val="center"/>
              <w:rPr>
                <w:rFonts w:ascii="Times New Roman Regular" w:hAnsi="Times New Roman Regular"/>
                <w:kern w:val="0"/>
              </w:rPr>
            </w:pPr>
            <w:r>
              <w:rPr>
                <w:rFonts w:ascii="Times New Roman Regular" w:hAnsi="Times New Roman Regular"/>
                <w:color w:val="000000"/>
                <w:kern w:val="0"/>
              </w:rPr>
              <w:t>Neoplasms benign, malignant and unspecified (incl cysts and polyps)</w:t>
            </w:r>
          </w:p>
        </w:tc>
        <w:tc>
          <w:tcPr>
            <w:tcW w:w="1166" w:type="dxa"/>
            <w:tcBorders>
              <w:top w:val="nil"/>
              <w:left w:val="nil"/>
              <w:bottom w:val="nil"/>
              <w:right w:val="nil"/>
            </w:tcBorders>
            <w:vAlign w:val="center"/>
          </w:tcPr>
          <w:p w14:paraId="049AC91F">
            <w:pPr>
              <w:widowControl/>
              <w:jc w:val="center"/>
              <w:textAlignment w:val="center"/>
              <w:rPr>
                <w:rFonts w:ascii="Times New Roman Regular" w:hAnsi="Times New Roman Regular"/>
                <w:kern w:val="0"/>
              </w:rPr>
            </w:pPr>
            <w:r>
              <w:rPr>
                <w:rFonts w:ascii="Times New Roman Regular" w:hAnsi="Times New Roman Regular"/>
                <w:color w:val="000000"/>
                <w:kern w:val="0"/>
              </w:rPr>
              <w:t>98</w:t>
            </w:r>
          </w:p>
        </w:tc>
        <w:tc>
          <w:tcPr>
            <w:tcW w:w="1913" w:type="dxa"/>
            <w:tcBorders>
              <w:top w:val="nil"/>
              <w:left w:val="nil"/>
              <w:bottom w:val="nil"/>
              <w:right w:val="nil"/>
            </w:tcBorders>
            <w:vAlign w:val="center"/>
          </w:tcPr>
          <w:p w14:paraId="412262D5">
            <w:pPr>
              <w:widowControl/>
              <w:jc w:val="center"/>
              <w:textAlignment w:val="center"/>
              <w:rPr>
                <w:rFonts w:ascii="Times New Roman Regular" w:hAnsi="Times New Roman Regular"/>
                <w:kern w:val="0"/>
              </w:rPr>
            </w:pPr>
            <w:r>
              <w:rPr>
                <w:rFonts w:ascii="Times New Roman Regular" w:hAnsi="Times New Roman Regular"/>
                <w:color w:val="000000"/>
                <w:kern w:val="0"/>
              </w:rPr>
              <w:t>11.76 (9.61-14.38)</w:t>
            </w:r>
          </w:p>
        </w:tc>
        <w:tc>
          <w:tcPr>
            <w:tcW w:w="1982" w:type="dxa"/>
            <w:tcBorders>
              <w:top w:val="nil"/>
              <w:left w:val="nil"/>
              <w:bottom w:val="nil"/>
              <w:right w:val="nil"/>
            </w:tcBorders>
            <w:vAlign w:val="center"/>
          </w:tcPr>
          <w:p w14:paraId="5F366489">
            <w:pPr>
              <w:widowControl/>
              <w:jc w:val="center"/>
              <w:textAlignment w:val="center"/>
              <w:rPr>
                <w:rFonts w:ascii="Times New Roman Regular" w:hAnsi="Times New Roman Regular"/>
                <w:kern w:val="0"/>
              </w:rPr>
            </w:pPr>
            <w:r>
              <w:rPr>
                <w:rFonts w:ascii="Times New Roman Regular" w:hAnsi="Times New Roman Regular"/>
                <w:color w:val="000000"/>
                <w:kern w:val="0"/>
              </w:rPr>
              <w:t>11.72 (9.58-14.32)</w:t>
            </w:r>
          </w:p>
        </w:tc>
        <w:tc>
          <w:tcPr>
            <w:tcW w:w="1322" w:type="dxa"/>
            <w:tcBorders>
              <w:top w:val="nil"/>
              <w:left w:val="nil"/>
              <w:bottom w:val="nil"/>
              <w:right w:val="nil"/>
            </w:tcBorders>
            <w:vAlign w:val="center"/>
          </w:tcPr>
          <w:p w14:paraId="44BBCFD5">
            <w:pPr>
              <w:widowControl/>
              <w:jc w:val="center"/>
              <w:textAlignment w:val="center"/>
              <w:rPr>
                <w:rFonts w:ascii="Times New Roman Regular" w:hAnsi="Times New Roman Regular"/>
                <w:kern w:val="0"/>
              </w:rPr>
            </w:pPr>
            <w:r>
              <w:rPr>
                <w:rFonts w:ascii="Times New Roman Regular" w:hAnsi="Times New Roman Regular"/>
                <w:color w:val="000000"/>
                <w:kern w:val="0"/>
              </w:rPr>
              <w:t>3.51 (2.84)</w:t>
            </w:r>
          </w:p>
        </w:tc>
        <w:tc>
          <w:tcPr>
            <w:tcW w:w="1443" w:type="dxa"/>
            <w:tcBorders>
              <w:top w:val="nil"/>
              <w:left w:val="nil"/>
              <w:bottom w:val="nil"/>
              <w:right w:val="nil"/>
            </w:tcBorders>
            <w:vAlign w:val="center"/>
          </w:tcPr>
          <w:p w14:paraId="74210614">
            <w:pPr>
              <w:widowControl/>
              <w:jc w:val="center"/>
              <w:textAlignment w:val="center"/>
              <w:rPr>
                <w:rFonts w:ascii="Times New Roman Regular" w:hAnsi="Times New Roman Regular"/>
                <w:kern w:val="0"/>
              </w:rPr>
            </w:pPr>
            <w:r>
              <w:rPr>
                <w:rFonts w:ascii="Times New Roman Regular" w:hAnsi="Times New Roman Regular"/>
                <w:color w:val="000000"/>
                <w:kern w:val="0"/>
              </w:rPr>
              <w:t>11.37 (9.29)</w:t>
            </w:r>
          </w:p>
        </w:tc>
      </w:tr>
      <w:tr w14:paraId="7D881042">
        <w:tc>
          <w:tcPr>
            <w:tcW w:w="2314" w:type="dxa"/>
            <w:tcBorders>
              <w:top w:val="nil"/>
              <w:left w:val="nil"/>
              <w:bottom w:val="nil"/>
              <w:right w:val="nil"/>
            </w:tcBorders>
            <w:vAlign w:val="center"/>
          </w:tcPr>
          <w:p w14:paraId="55A34EB0">
            <w:pPr>
              <w:widowControl/>
              <w:jc w:val="left"/>
              <w:textAlignment w:val="center"/>
              <w:rPr>
                <w:rFonts w:ascii="Times New Roman Regular" w:hAnsi="Times New Roman Regular"/>
                <w:kern w:val="0"/>
              </w:rPr>
            </w:pPr>
            <w:r>
              <w:rPr>
                <w:rFonts w:ascii="Times New Roman Regular" w:hAnsi="Times New Roman Regular"/>
                <w:color w:val="000000"/>
                <w:kern w:val="0"/>
              </w:rPr>
              <w:t>Metastases to bone</w:t>
            </w:r>
          </w:p>
        </w:tc>
        <w:tc>
          <w:tcPr>
            <w:tcW w:w="4034" w:type="dxa"/>
            <w:tcBorders>
              <w:top w:val="nil"/>
              <w:left w:val="nil"/>
              <w:bottom w:val="nil"/>
              <w:right w:val="nil"/>
            </w:tcBorders>
            <w:vAlign w:val="center"/>
          </w:tcPr>
          <w:p w14:paraId="750EAA13">
            <w:pPr>
              <w:widowControl/>
              <w:jc w:val="left"/>
              <w:textAlignment w:val="center"/>
              <w:rPr>
                <w:rFonts w:ascii="Times New Roman Regular" w:hAnsi="Times New Roman Regular"/>
                <w:kern w:val="0"/>
              </w:rPr>
            </w:pPr>
            <w:r>
              <w:rPr>
                <w:rFonts w:ascii="Times New Roman Regular" w:hAnsi="Times New Roman Regular"/>
                <w:color w:val="000000"/>
                <w:kern w:val="0"/>
              </w:rPr>
              <w:t>Musculoskeletal and connective tissue disorders</w:t>
            </w:r>
          </w:p>
        </w:tc>
        <w:tc>
          <w:tcPr>
            <w:tcW w:w="1166" w:type="dxa"/>
            <w:tcBorders>
              <w:top w:val="nil"/>
              <w:left w:val="nil"/>
              <w:bottom w:val="nil"/>
              <w:right w:val="nil"/>
            </w:tcBorders>
            <w:vAlign w:val="center"/>
          </w:tcPr>
          <w:p w14:paraId="4E9F8992">
            <w:pPr>
              <w:widowControl/>
              <w:jc w:val="center"/>
              <w:textAlignment w:val="center"/>
              <w:rPr>
                <w:rFonts w:ascii="Times New Roman Regular" w:hAnsi="Times New Roman Regular"/>
                <w:kern w:val="0"/>
              </w:rPr>
            </w:pPr>
            <w:r>
              <w:rPr>
                <w:rFonts w:ascii="Times New Roman Regular" w:hAnsi="Times New Roman Regular"/>
                <w:color w:val="000000"/>
                <w:kern w:val="0"/>
              </w:rPr>
              <w:t>98</w:t>
            </w:r>
          </w:p>
        </w:tc>
        <w:tc>
          <w:tcPr>
            <w:tcW w:w="1913" w:type="dxa"/>
            <w:tcBorders>
              <w:top w:val="nil"/>
              <w:left w:val="nil"/>
              <w:bottom w:val="nil"/>
              <w:right w:val="nil"/>
            </w:tcBorders>
            <w:vAlign w:val="center"/>
          </w:tcPr>
          <w:p w14:paraId="596D8AD1">
            <w:pPr>
              <w:widowControl/>
              <w:jc w:val="center"/>
              <w:textAlignment w:val="center"/>
              <w:rPr>
                <w:rFonts w:ascii="Times New Roman Regular" w:hAnsi="Times New Roman Regular"/>
                <w:kern w:val="0"/>
              </w:rPr>
            </w:pPr>
            <w:r>
              <w:rPr>
                <w:rFonts w:ascii="Times New Roman Regular" w:hAnsi="Times New Roman Regular"/>
                <w:color w:val="000000"/>
                <w:kern w:val="0"/>
              </w:rPr>
              <w:t>6.47 (5.3-7.9)</w:t>
            </w:r>
          </w:p>
        </w:tc>
        <w:tc>
          <w:tcPr>
            <w:tcW w:w="1982" w:type="dxa"/>
            <w:tcBorders>
              <w:top w:val="nil"/>
              <w:left w:val="nil"/>
              <w:bottom w:val="nil"/>
              <w:right w:val="nil"/>
            </w:tcBorders>
            <w:vAlign w:val="center"/>
          </w:tcPr>
          <w:p w14:paraId="5A735987">
            <w:pPr>
              <w:widowControl/>
              <w:jc w:val="center"/>
              <w:textAlignment w:val="center"/>
              <w:rPr>
                <w:rFonts w:ascii="Times New Roman Regular" w:hAnsi="Times New Roman Regular"/>
                <w:kern w:val="0"/>
              </w:rPr>
            </w:pPr>
            <w:r>
              <w:rPr>
                <w:rFonts w:ascii="Times New Roman Regular" w:hAnsi="Times New Roman Regular"/>
                <w:color w:val="000000"/>
                <w:kern w:val="0"/>
              </w:rPr>
              <w:t>6.45 (5.28-7.87)</w:t>
            </w:r>
          </w:p>
        </w:tc>
        <w:tc>
          <w:tcPr>
            <w:tcW w:w="1322" w:type="dxa"/>
            <w:tcBorders>
              <w:top w:val="nil"/>
              <w:left w:val="nil"/>
              <w:bottom w:val="nil"/>
              <w:right w:val="nil"/>
            </w:tcBorders>
            <w:vAlign w:val="center"/>
          </w:tcPr>
          <w:p w14:paraId="163E7593">
            <w:pPr>
              <w:widowControl/>
              <w:jc w:val="center"/>
              <w:textAlignment w:val="center"/>
              <w:rPr>
                <w:rFonts w:ascii="Times New Roman Regular" w:hAnsi="Times New Roman Regular"/>
                <w:kern w:val="0"/>
              </w:rPr>
            </w:pPr>
            <w:r>
              <w:rPr>
                <w:rFonts w:ascii="Times New Roman Regular" w:hAnsi="Times New Roman Regular"/>
                <w:color w:val="000000"/>
                <w:kern w:val="0"/>
              </w:rPr>
              <w:t>2.67 (2.01)</w:t>
            </w:r>
          </w:p>
        </w:tc>
        <w:tc>
          <w:tcPr>
            <w:tcW w:w="1443" w:type="dxa"/>
            <w:tcBorders>
              <w:top w:val="nil"/>
              <w:left w:val="nil"/>
              <w:bottom w:val="nil"/>
              <w:right w:val="nil"/>
            </w:tcBorders>
            <w:vAlign w:val="center"/>
          </w:tcPr>
          <w:p w14:paraId="75314098">
            <w:pPr>
              <w:widowControl/>
              <w:jc w:val="center"/>
              <w:textAlignment w:val="center"/>
              <w:rPr>
                <w:rFonts w:ascii="Times New Roman Regular" w:hAnsi="Times New Roman Regular"/>
                <w:kern w:val="0"/>
              </w:rPr>
            </w:pPr>
            <w:r>
              <w:rPr>
                <w:rFonts w:ascii="Times New Roman Regular" w:hAnsi="Times New Roman Regular"/>
                <w:color w:val="000000"/>
                <w:kern w:val="0"/>
              </w:rPr>
              <w:t>6.35 (5.2)</w:t>
            </w:r>
          </w:p>
        </w:tc>
      </w:tr>
      <w:tr w14:paraId="505CE891">
        <w:tc>
          <w:tcPr>
            <w:tcW w:w="2314" w:type="dxa"/>
            <w:tcBorders>
              <w:top w:val="nil"/>
              <w:left w:val="nil"/>
              <w:bottom w:val="nil"/>
              <w:right w:val="nil"/>
            </w:tcBorders>
            <w:vAlign w:val="center"/>
          </w:tcPr>
          <w:p w14:paraId="67E4BCB8">
            <w:pPr>
              <w:widowControl/>
              <w:jc w:val="left"/>
              <w:textAlignment w:val="center"/>
              <w:rPr>
                <w:rFonts w:ascii="Times New Roman Regular" w:hAnsi="Times New Roman Regular"/>
                <w:kern w:val="0"/>
              </w:rPr>
            </w:pPr>
            <w:r>
              <w:rPr>
                <w:rFonts w:ascii="Times New Roman Regular" w:hAnsi="Times New Roman Regular"/>
                <w:color w:val="000000"/>
                <w:kern w:val="0"/>
              </w:rPr>
              <w:t>Hair growth abnormal</w:t>
            </w:r>
          </w:p>
        </w:tc>
        <w:tc>
          <w:tcPr>
            <w:tcW w:w="4034" w:type="dxa"/>
            <w:tcBorders>
              <w:top w:val="nil"/>
              <w:left w:val="nil"/>
              <w:bottom w:val="nil"/>
              <w:right w:val="nil"/>
            </w:tcBorders>
            <w:vAlign w:val="center"/>
          </w:tcPr>
          <w:p w14:paraId="4D28CBB7">
            <w:pPr>
              <w:widowControl/>
              <w:jc w:val="left"/>
              <w:textAlignment w:val="center"/>
              <w:rPr>
                <w:rFonts w:ascii="Times New Roman Regular" w:hAnsi="Times New Roman Regular"/>
                <w:kern w:val="0"/>
              </w:rPr>
            </w:pPr>
            <w:r>
              <w:rPr>
                <w:rFonts w:ascii="Times New Roman Regular" w:hAnsi="Times New Roman Regular"/>
                <w:color w:val="000000"/>
                <w:kern w:val="0"/>
              </w:rPr>
              <w:t>Skin and subcutaneous tissue disorders</w:t>
            </w:r>
          </w:p>
        </w:tc>
        <w:tc>
          <w:tcPr>
            <w:tcW w:w="1166" w:type="dxa"/>
            <w:tcBorders>
              <w:top w:val="nil"/>
              <w:left w:val="nil"/>
              <w:bottom w:val="nil"/>
              <w:right w:val="nil"/>
            </w:tcBorders>
            <w:vAlign w:val="center"/>
          </w:tcPr>
          <w:p w14:paraId="311C0266">
            <w:pPr>
              <w:widowControl/>
              <w:jc w:val="center"/>
              <w:textAlignment w:val="center"/>
              <w:rPr>
                <w:rFonts w:ascii="Times New Roman Regular" w:hAnsi="Times New Roman Regular"/>
                <w:kern w:val="0"/>
              </w:rPr>
            </w:pPr>
            <w:r>
              <w:rPr>
                <w:rFonts w:ascii="Times New Roman Regular" w:hAnsi="Times New Roman Regular"/>
                <w:color w:val="000000"/>
                <w:kern w:val="0"/>
              </w:rPr>
              <w:t>96</w:t>
            </w:r>
          </w:p>
        </w:tc>
        <w:tc>
          <w:tcPr>
            <w:tcW w:w="1913" w:type="dxa"/>
            <w:tcBorders>
              <w:top w:val="nil"/>
              <w:left w:val="nil"/>
              <w:bottom w:val="nil"/>
              <w:right w:val="nil"/>
            </w:tcBorders>
            <w:vAlign w:val="center"/>
          </w:tcPr>
          <w:p w14:paraId="1A94D182">
            <w:pPr>
              <w:widowControl/>
              <w:jc w:val="center"/>
              <w:textAlignment w:val="center"/>
              <w:rPr>
                <w:rFonts w:ascii="Times New Roman Regular" w:hAnsi="Times New Roman Regular"/>
                <w:kern w:val="0"/>
              </w:rPr>
            </w:pPr>
            <w:r>
              <w:rPr>
                <w:rFonts w:ascii="Times New Roman Regular" w:hAnsi="Times New Roman Regular"/>
                <w:color w:val="000000"/>
                <w:kern w:val="0"/>
              </w:rPr>
              <w:t>10.73 (8.75-13.15)</w:t>
            </w:r>
          </w:p>
        </w:tc>
        <w:tc>
          <w:tcPr>
            <w:tcW w:w="1982" w:type="dxa"/>
            <w:tcBorders>
              <w:top w:val="nil"/>
              <w:left w:val="nil"/>
              <w:bottom w:val="nil"/>
              <w:right w:val="nil"/>
            </w:tcBorders>
            <w:vAlign w:val="center"/>
          </w:tcPr>
          <w:p w14:paraId="5A362285">
            <w:pPr>
              <w:widowControl/>
              <w:jc w:val="center"/>
              <w:textAlignment w:val="center"/>
              <w:rPr>
                <w:rFonts w:ascii="Times New Roman Regular" w:hAnsi="Times New Roman Regular"/>
                <w:kern w:val="0"/>
              </w:rPr>
            </w:pPr>
            <w:r>
              <w:rPr>
                <w:rFonts w:ascii="Times New Roman Regular" w:hAnsi="Times New Roman Regular"/>
                <w:color w:val="000000"/>
                <w:kern w:val="0"/>
              </w:rPr>
              <w:t>10.69 (8.73-13.09)</w:t>
            </w:r>
          </w:p>
        </w:tc>
        <w:tc>
          <w:tcPr>
            <w:tcW w:w="1322" w:type="dxa"/>
            <w:tcBorders>
              <w:top w:val="nil"/>
              <w:left w:val="nil"/>
              <w:bottom w:val="nil"/>
              <w:right w:val="nil"/>
            </w:tcBorders>
            <w:vAlign w:val="center"/>
          </w:tcPr>
          <w:p w14:paraId="69D72E4B">
            <w:pPr>
              <w:widowControl/>
              <w:jc w:val="center"/>
              <w:textAlignment w:val="center"/>
              <w:rPr>
                <w:rFonts w:ascii="Times New Roman Regular" w:hAnsi="Times New Roman Regular"/>
                <w:kern w:val="0"/>
              </w:rPr>
            </w:pPr>
            <w:r>
              <w:rPr>
                <w:rFonts w:ascii="Times New Roman Regular" w:hAnsi="Times New Roman Regular"/>
                <w:color w:val="000000"/>
                <w:kern w:val="0"/>
              </w:rPr>
              <w:t>3.38 (2.71)</w:t>
            </w:r>
          </w:p>
        </w:tc>
        <w:tc>
          <w:tcPr>
            <w:tcW w:w="1443" w:type="dxa"/>
            <w:tcBorders>
              <w:top w:val="nil"/>
              <w:left w:val="nil"/>
              <w:bottom w:val="nil"/>
              <w:right w:val="nil"/>
            </w:tcBorders>
            <w:vAlign w:val="center"/>
          </w:tcPr>
          <w:p w14:paraId="7F17D540">
            <w:pPr>
              <w:widowControl/>
              <w:jc w:val="center"/>
              <w:textAlignment w:val="center"/>
              <w:rPr>
                <w:rFonts w:ascii="Times New Roman Regular" w:hAnsi="Times New Roman Regular"/>
                <w:kern w:val="0"/>
              </w:rPr>
            </w:pPr>
            <w:r>
              <w:rPr>
                <w:rFonts w:ascii="Times New Roman Regular" w:hAnsi="Times New Roman Regular"/>
                <w:color w:val="000000"/>
                <w:kern w:val="0"/>
              </w:rPr>
              <w:t>10.4 (8.49)</w:t>
            </w:r>
          </w:p>
        </w:tc>
      </w:tr>
      <w:tr w14:paraId="749A453C">
        <w:tc>
          <w:tcPr>
            <w:tcW w:w="2314" w:type="dxa"/>
            <w:tcBorders>
              <w:top w:val="nil"/>
              <w:left w:val="nil"/>
              <w:bottom w:val="nil"/>
              <w:right w:val="nil"/>
            </w:tcBorders>
            <w:vAlign w:val="center"/>
          </w:tcPr>
          <w:p w14:paraId="1752E74F">
            <w:pPr>
              <w:widowControl/>
              <w:jc w:val="left"/>
              <w:textAlignment w:val="center"/>
              <w:rPr>
                <w:rFonts w:ascii="Times New Roman Regular" w:hAnsi="Times New Roman Regular"/>
                <w:kern w:val="0"/>
              </w:rPr>
            </w:pPr>
            <w:r>
              <w:rPr>
                <w:rFonts w:ascii="Times New Roman Regular" w:hAnsi="Times New Roman Regular"/>
                <w:color w:val="000000"/>
                <w:kern w:val="0"/>
              </w:rPr>
              <w:t>Non-small cell lung cancer#</w:t>
            </w:r>
          </w:p>
        </w:tc>
        <w:tc>
          <w:tcPr>
            <w:tcW w:w="4034" w:type="dxa"/>
            <w:tcBorders>
              <w:top w:val="nil"/>
              <w:left w:val="nil"/>
              <w:bottom w:val="nil"/>
              <w:right w:val="nil"/>
            </w:tcBorders>
            <w:vAlign w:val="center"/>
          </w:tcPr>
          <w:p w14:paraId="62807300">
            <w:pPr>
              <w:widowControl/>
              <w:jc w:val="left"/>
              <w:textAlignment w:val="center"/>
              <w:rPr>
                <w:rFonts w:ascii="Times New Roman Regular" w:hAnsi="Times New Roman Regular"/>
                <w:kern w:val="0"/>
              </w:rPr>
            </w:pPr>
            <w:r>
              <w:rPr>
                <w:rFonts w:ascii="Times New Roman Regular" w:hAnsi="Times New Roman Regular"/>
                <w:color w:val="000000"/>
                <w:kern w:val="0"/>
              </w:rPr>
              <w:t>Respiratory, thoracic and mediastinal disorders#</w:t>
            </w:r>
          </w:p>
        </w:tc>
        <w:tc>
          <w:tcPr>
            <w:tcW w:w="1166" w:type="dxa"/>
            <w:tcBorders>
              <w:top w:val="nil"/>
              <w:left w:val="nil"/>
              <w:bottom w:val="nil"/>
              <w:right w:val="nil"/>
            </w:tcBorders>
            <w:vAlign w:val="center"/>
          </w:tcPr>
          <w:p w14:paraId="74C8B4C4">
            <w:pPr>
              <w:widowControl/>
              <w:jc w:val="center"/>
              <w:textAlignment w:val="center"/>
              <w:rPr>
                <w:rFonts w:ascii="Times New Roman Regular" w:hAnsi="Times New Roman Regular"/>
                <w:kern w:val="0"/>
              </w:rPr>
            </w:pPr>
            <w:r>
              <w:rPr>
                <w:rFonts w:ascii="Times New Roman Regular" w:hAnsi="Times New Roman Regular"/>
                <w:color w:val="000000"/>
                <w:kern w:val="0"/>
              </w:rPr>
              <w:t>89</w:t>
            </w:r>
          </w:p>
        </w:tc>
        <w:tc>
          <w:tcPr>
            <w:tcW w:w="1913" w:type="dxa"/>
            <w:tcBorders>
              <w:top w:val="nil"/>
              <w:left w:val="nil"/>
              <w:bottom w:val="nil"/>
              <w:right w:val="nil"/>
            </w:tcBorders>
            <w:vAlign w:val="center"/>
          </w:tcPr>
          <w:p w14:paraId="52CBC760">
            <w:pPr>
              <w:widowControl/>
              <w:jc w:val="center"/>
              <w:textAlignment w:val="center"/>
              <w:rPr>
                <w:rFonts w:ascii="Times New Roman Regular" w:hAnsi="Times New Roman Regular"/>
                <w:kern w:val="0"/>
              </w:rPr>
            </w:pPr>
            <w:r>
              <w:rPr>
                <w:rFonts w:ascii="Times New Roman Regular" w:hAnsi="Times New Roman Regular"/>
                <w:color w:val="000000"/>
                <w:kern w:val="0"/>
              </w:rPr>
              <w:t>24.77 (19.97-30.72)</w:t>
            </w:r>
          </w:p>
        </w:tc>
        <w:tc>
          <w:tcPr>
            <w:tcW w:w="1982" w:type="dxa"/>
            <w:tcBorders>
              <w:top w:val="nil"/>
              <w:left w:val="nil"/>
              <w:bottom w:val="nil"/>
              <w:right w:val="nil"/>
            </w:tcBorders>
            <w:vAlign w:val="center"/>
          </w:tcPr>
          <w:p w14:paraId="6EAC9799">
            <w:pPr>
              <w:widowControl/>
              <w:jc w:val="center"/>
              <w:textAlignment w:val="center"/>
              <w:rPr>
                <w:rFonts w:ascii="Times New Roman Regular" w:hAnsi="Times New Roman Regular"/>
                <w:kern w:val="0"/>
              </w:rPr>
            </w:pPr>
            <w:r>
              <w:rPr>
                <w:rFonts w:ascii="Times New Roman Regular" w:hAnsi="Times New Roman Regular"/>
                <w:color w:val="000000"/>
                <w:kern w:val="0"/>
              </w:rPr>
              <w:t>24.69 (19.92-30.6)</w:t>
            </w:r>
          </w:p>
        </w:tc>
        <w:tc>
          <w:tcPr>
            <w:tcW w:w="1322" w:type="dxa"/>
            <w:tcBorders>
              <w:top w:val="nil"/>
              <w:left w:val="nil"/>
              <w:bottom w:val="nil"/>
              <w:right w:val="nil"/>
            </w:tcBorders>
            <w:vAlign w:val="center"/>
          </w:tcPr>
          <w:p w14:paraId="6E40ADBC">
            <w:pPr>
              <w:widowControl/>
              <w:jc w:val="center"/>
              <w:textAlignment w:val="center"/>
              <w:rPr>
                <w:rFonts w:ascii="Times New Roman Regular" w:hAnsi="Times New Roman Regular"/>
                <w:kern w:val="0"/>
              </w:rPr>
            </w:pPr>
            <w:r>
              <w:rPr>
                <w:rFonts w:ascii="Times New Roman Regular" w:hAnsi="Times New Roman Regular"/>
                <w:color w:val="000000"/>
                <w:kern w:val="0"/>
              </w:rPr>
              <w:t>4.53 (3.82)</w:t>
            </w:r>
          </w:p>
        </w:tc>
        <w:tc>
          <w:tcPr>
            <w:tcW w:w="1443" w:type="dxa"/>
            <w:tcBorders>
              <w:top w:val="nil"/>
              <w:left w:val="nil"/>
              <w:bottom w:val="nil"/>
              <w:right w:val="nil"/>
            </w:tcBorders>
            <w:vAlign w:val="center"/>
          </w:tcPr>
          <w:p w14:paraId="4255E761">
            <w:pPr>
              <w:widowControl/>
              <w:jc w:val="center"/>
              <w:textAlignment w:val="center"/>
              <w:rPr>
                <w:rFonts w:ascii="Times New Roman Regular" w:hAnsi="Times New Roman Regular"/>
                <w:kern w:val="0"/>
              </w:rPr>
            </w:pPr>
            <w:r>
              <w:rPr>
                <w:rFonts w:ascii="Times New Roman Regular" w:hAnsi="Times New Roman Regular"/>
                <w:color w:val="000000"/>
                <w:kern w:val="0"/>
              </w:rPr>
              <w:t>23.11 (18.64)</w:t>
            </w:r>
          </w:p>
        </w:tc>
      </w:tr>
      <w:tr w14:paraId="4E652310">
        <w:tc>
          <w:tcPr>
            <w:tcW w:w="2314" w:type="dxa"/>
            <w:tcBorders>
              <w:top w:val="nil"/>
              <w:left w:val="nil"/>
              <w:bottom w:val="nil"/>
              <w:right w:val="nil"/>
            </w:tcBorders>
            <w:vAlign w:val="center"/>
          </w:tcPr>
          <w:p w14:paraId="5D5EF632">
            <w:pPr>
              <w:widowControl/>
              <w:jc w:val="left"/>
              <w:textAlignment w:val="center"/>
              <w:rPr>
                <w:rFonts w:ascii="Times New Roman Regular" w:hAnsi="Times New Roman Regular"/>
                <w:kern w:val="0"/>
              </w:rPr>
            </w:pPr>
            <w:r>
              <w:rPr>
                <w:rFonts w:ascii="Times New Roman Regular" w:hAnsi="Times New Roman Regular"/>
                <w:color w:val="000000"/>
                <w:kern w:val="0"/>
              </w:rPr>
              <w:t>Onychoclasis</w:t>
            </w:r>
          </w:p>
        </w:tc>
        <w:tc>
          <w:tcPr>
            <w:tcW w:w="4034" w:type="dxa"/>
            <w:tcBorders>
              <w:top w:val="nil"/>
              <w:left w:val="nil"/>
              <w:bottom w:val="nil"/>
              <w:right w:val="nil"/>
            </w:tcBorders>
            <w:vAlign w:val="center"/>
          </w:tcPr>
          <w:p w14:paraId="1F17CF7B">
            <w:pPr>
              <w:widowControl/>
              <w:jc w:val="left"/>
              <w:textAlignment w:val="center"/>
              <w:rPr>
                <w:rFonts w:ascii="Times New Roman Regular" w:hAnsi="Times New Roman Regular"/>
                <w:kern w:val="0"/>
              </w:rPr>
            </w:pPr>
            <w:r>
              <w:rPr>
                <w:rFonts w:ascii="Times New Roman Regular" w:hAnsi="Times New Roman Regular"/>
                <w:color w:val="000000"/>
                <w:kern w:val="0"/>
              </w:rPr>
              <w:t>Skin and subcutaneous tissue disorders</w:t>
            </w:r>
          </w:p>
        </w:tc>
        <w:tc>
          <w:tcPr>
            <w:tcW w:w="1166" w:type="dxa"/>
            <w:tcBorders>
              <w:top w:val="nil"/>
              <w:left w:val="nil"/>
              <w:bottom w:val="nil"/>
              <w:right w:val="nil"/>
            </w:tcBorders>
            <w:vAlign w:val="center"/>
          </w:tcPr>
          <w:p w14:paraId="6F7F6A10">
            <w:pPr>
              <w:widowControl/>
              <w:jc w:val="center"/>
              <w:textAlignment w:val="center"/>
              <w:rPr>
                <w:rFonts w:ascii="Times New Roman Regular" w:hAnsi="Times New Roman Regular"/>
                <w:kern w:val="0"/>
              </w:rPr>
            </w:pPr>
            <w:r>
              <w:rPr>
                <w:rFonts w:ascii="Times New Roman Regular" w:hAnsi="Times New Roman Regular"/>
                <w:color w:val="000000"/>
                <w:kern w:val="0"/>
              </w:rPr>
              <w:t>89</w:t>
            </w:r>
          </w:p>
        </w:tc>
        <w:tc>
          <w:tcPr>
            <w:tcW w:w="1913" w:type="dxa"/>
            <w:tcBorders>
              <w:top w:val="nil"/>
              <w:left w:val="nil"/>
              <w:bottom w:val="nil"/>
              <w:right w:val="nil"/>
            </w:tcBorders>
            <w:vAlign w:val="center"/>
          </w:tcPr>
          <w:p w14:paraId="0614D37D">
            <w:pPr>
              <w:widowControl/>
              <w:jc w:val="center"/>
              <w:textAlignment w:val="center"/>
              <w:rPr>
                <w:rFonts w:ascii="Times New Roman Regular" w:hAnsi="Times New Roman Regular"/>
                <w:kern w:val="0"/>
              </w:rPr>
            </w:pPr>
            <w:r>
              <w:rPr>
                <w:rFonts w:ascii="Times New Roman Regular" w:hAnsi="Times New Roman Regular"/>
                <w:color w:val="000000"/>
                <w:kern w:val="0"/>
              </w:rPr>
              <w:t>13.57 (10.97-16.77)</w:t>
            </w:r>
          </w:p>
        </w:tc>
        <w:tc>
          <w:tcPr>
            <w:tcW w:w="1982" w:type="dxa"/>
            <w:tcBorders>
              <w:top w:val="nil"/>
              <w:left w:val="nil"/>
              <w:bottom w:val="nil"/>
              <w:right w:val="nil"/>
            </w:tcBorders>
            <w:vAlign w:val="center"/>
          </w:tcPr>
          <w:p w14:paraId="680216A2">
            <w:pPr>
              <w:widowControl/>
              <w:jc w:val="center"/>
              <w:textAlignment w:val="center"/>
              <w:rPr>
                <w:rFonts w:ascii="Times New Roman Regular" w:hAnsi="Times New Roman Regular"/>
                <w:kern w:val="0"/>
              </w:rPr>
            </w:pPr>
            <w:r>
              <w:rPr>
                <w:rFonts w:ascii="Times New Roman Regular" w:hAnsi="Times New Roman Regular"/>
                <w:color w:val="000000"/>
                <w:kern w:val="0"/>
              </w:rPr>
              <w:t>13.53 (10.95-16.71)</w:t>
            </w:r>
          </w:p>
        </w:tc>
        <w:tc>
          <w:tcPr>
            <w:tcW w:w="1322" w:type="dxa"/>
            <w:tcBorders>
              <w:top w:val="nil"/>
              <w:left w:val="nil"/>
              <w:bottom w:val="nil"/>
              <w:right w:val="nil"/>
            </w:tcBorders>
            <w:vAlign w:val="center"/>
          </w:tcPr>
          <w:p w14:paraId="332B35D8">
            <w:pPr>
              <w:widowControl/>
              <w:jc w:val="center"/>
              <w:textAlignment w:val="center"/>
              <w:rPr>
                <w:rFonts w:ascii="Times New Roman Regular" w:hAnsi="Times New Roman Regular"/>
                <w:kern w:val="0"/>
              </w:rPr>
            </w:pPr>
            <w:r>
              <w:rPr>
                <w:rFonts w:ascii="Times New Roman Regular" w:hAnsi="Times New Roman Regular"/>
                <w:color w:val="000000"/>
                <w:kern w:val="0"/>
              </w:rPr>
              <w:t>3.71 (3.01)</w:t>
            </w:r>
          </w:p>
        </w:tc>
        <w:tc>
          <w:tcPr>
            <w:tcW w:w="1443" w:type="dxa"/>
            <w:tcBorders>
              <w:top w:val="nil"/>
              <w:left w:val="nil"/>
              <w:bottom w:val="nil"/>
              <w:right w:val="nil"/>
            </w:tcBorders>
            <w:vAlign w:val="center"/>
          </w:tcPr>
          <w:p w14:paraId="1BBD7603">
            <w:pPr>
              <w:widowControl/>
              <w:jc w:val="center"/>
              <w:textAlignment w:val="center"/>
              <w:rPr>
                <w:rFonts w:ascii="Times New Roman Regular" w:hAnsi="Times New Roman Regular"/>
                <w:kern w:val="0"/>
              </w:rPr>
            </w:pPr>
            <w:r>
              <w:rPr>
                <w:rFonts w:ascii="Times New Roman Regular" w:hAnsi="Times New Roman Regular"/>
                <w:color w:val="000000"/>
                <w:kern w:val="0"/>
              </w:rPr>
              <w:t>13.06 (10.56)</w:t>
            </w:r>
          </w:p>
        </w:tc>
      </w:tr>
      <w:tr w14:paraId="58875355">
        <w:tc>
          <w:tcPr>
            <w:tcW w:w="2314" w:type="dxa"/>
            <w:tcBorders>
              <w:top w:val="nil"/>
              <w:left w:val="nil"/>
              <w:bottom w:val="nil"/>
              <w:right w:val="nil"/>
            </w:tcBorders>
            <w:vAlign w:val="center"/>
          </w:tcPr>
          <w:p w14:paraId="18FEEBB7">
            <w:pPr>
              <w:widowControl/>
              <w:jc w:val="left"/>
              <w:textAlignment w:val="center"/>
              <w:rPr>
                <w:rFonts w:ascii="Times New Roman Regular" w:hAnsi="Times New Roman Regular"/>
                <w:kern w:val="0"/>
              </w:rPr>
            </w:pPr>
            <w:r>
              <w:rPr>
                <w:rFonts w:ascii="Times New Roman Regular" w:hAnsi="Times New Roman Regular"/>
                <w:color w:val="000000"/>
                <w:kern w:val="0"/>
              </w:rPr>
              <w:t>Metastases to liver#</w:t>
            </w:r>
          </w:p>
        </w:tc>
        <w:tc>
          <w:tcPr>
            <w:tcW w:w="4034" w:type="dxa"/>
            <w:tcBorders>
              <w:top w:val="nil"/>
              <w:left w:val="nil"/>
              <w:bottom w:val="nil"/>
              <w:right w:val="nil"/>
            </w:tcBorders>
            <w:vAlign w:val="center"/>
          </w:tcPr>
          <w:p w14:paraId="06A5893A">
            <w:pPr>
              <w:widowControl/>
              <w:jc w:val="left"/>
              <w:textAlignment w:val="center"/>
              <w:rPr>
                <w:rFonts w:ascii="Times New Roman Regular" w:hAnsi="Times New Roman Regular"/>
                <w:kern w:val="0"/>
              </w:rPr>
            </w:pPr>
            <w:r>
              <w:rPr>
                <w:rFonts w:ascii="Times New Roman Regular" w:hAnsi="Times New Roman Regular"/>
                <w:color w:val="000000"/>
                <w:kern w:val="0"/>
              </w:rPr>
              <w:t>Hepatobiliary disorders#</w:t>
            </w:r>
          </w:p>
        </w:tc>
        <w:tc>
          <w:tcPr>
            <w:tcW w:w="1166" w:type="dxa"/>
            <w:tcBorders>
              <w:top w:val="nil"/>
              <w:left w:val="nil"/>
              <w:bottom w:val="nil"/>
              <w:right w:val="nil"/>
            </w:tcBorders>
            <w:vAlign w:val="center"/>
          </w:tcPr>
          <w:p w14:paraId="178E1CF6">
            <w:pPr>
              <w:widowControl/>
              <w:jc w:val="center"/>
              <w:textAlignment w:val="center"/>
              <w:rPr>
                <w:rFonts w:ascii="Times New Roman Regular" w:hAnsi="Times New Roman Regular"/>
                <w:kern w:val="0"/>
              </w:rPr>
            </w:pPr>
            <w:r>
              <w:rPr>
                <w:rFonts w:ascii="Times New Roman Regular" w:hAnsi="Times New Roman Regular"/>
                <w:color w:val="000000"/>
                <w:kern w:val="0"/>
              </w:rPr>
              <w:t>87</w:t>
            </w:r>
          </w:p>
        </w:tc>
        <w:tc>
          <w:tcPr>
            <w:tcW w:w="1913" w:type="dxa"/>
            <w:tcBorders>
              <w:top w:val="nil"/>
              <w:left w:val="nil"/>
              <w:bottom w:val="nil"/>
              <w:right w:val="nil"/>
            </w:tcBorders>
            <w:vAlign w:val="center"/>
          </w:tcPr>
          <w:p w14:paraId="41F9C742">
            <w:pPr>
              <w:widowControl/>
              <w:jc w:val="center"/>
              <w:textAlignment w:val="center"/>
              <w:rPr>
                <w:rFonts w:ascii="Times New Roman Regular" w:hAnsi="Times New Roman Regular"/>
                <w:kern w:val="0"/>
              </w:rPr>
            </w:pPr>
            <w:r>
              <w:rPr>
                <w:rFonts w:ascii="Times New Roman Regular" w:hAnsi="Times New Roman Regular"/>
                <w:color w:val="000000"/>
                <w:kern w:val="0"/>
              </w:rPr>
              <w:t>4.86 (3.94-6.01)</w:t>
            </w:r>
          </w:p>
        </w:tc>
        <w:tc>
          <w:tcPr>
            <w:tcW w:w="1982" w:type="dxa"/>
            <w:tcBorders>
              <w:top w:val="nil"/>
              <w:left w:val="nil"/>
              <w:bottom w:val="nil"/>
              <w:right w:val="nil"/>
            </w:tcBorders>
            <w:vAlign w:val="center"/>
          </w:tcPr>
          <w:p w14:paraId="265E0A2B">
            <w:pPr>
              <w:widowControl/>
              <w:jc w:val="center"/>
              <w:textAlignment w:val="center"/>
              <w:rPr>
                <w:rFonts w:ascii="Times New Roman Regular" w:hAnsi="Times New Roman Regular"/>
                <w:kern w:val="0"/>
              </w:rPr>
            </w:pPr>
            <w:r>
              <w:rPr>
                <w:rFonts w:ascii="Times New Roman Regular" w:hAnsi="Times New Roman Regular"/>
                <w:color w:val="000000"/>
                <w:kern w:val="0"/>
              </w:rPr>
              <w:t>4.85 (3.93-5.99)</w:t>
            </w:r>
          </w:p>
        </w:tc>
        <w:tc>
          <w:tcPr>
            <w:tcW w:w="1322" w:type="dxa"/>
            <w:tcBorders>
              <w:top w:val="nil"/>
              <w:left w:val="nil"/>
              <w:bottom w:val="nil"/>
              <w:right w:val="nil"/>
            </w:tcBorders>
            <w:vAlign w:val="center"/>
          </w:tcPr>
          <w:p w14:paraId="00B8C946">
            <w:pPr>
              <w:widowControl/>
              <w:jc w:val="center"/>
              <w:textAlignment w:val="center"/>
              <w:rPr>
                <w:rFonts w:ascii="Times New Roman Regular" w:hAnsi="Times New Roman Regular"/>
                <w:kern w:val="0"/>
              </w:rPr>
            </w:pPr>
            <w:r>
              <w:rPr>
                <w:rFonts w:ascii="Times New Roman Regular" w:hAnsi="Times New Roman Regular"/>
                <w:color w:val="000000"/>
                <w:kern w:val="0"/>
              </w:rPr>
              <w:t>2.26 (1.56)</w:t>
            </w:r>
          </w:p>
        </w:tc>
        <w:tc>
          <w:tcPr>
            <w:tcW w:w="1443" w:type="dxa"/>
            <w:tcBorders>
              <w:top w:val="nil"/>
              <w:left w:val="nil"/>
              <w:bottom w:val="nil"/>
              <w:right w:val="nil"/>
            </w:tcBorders>
            <w:vAlign w:val="center"/>
          </w:tcPr>
          <w:p w14:paraId="4C0E3801">
            <w:pPr>
              <w:widowControl/>
              <w:jc w:val="center"/>
              <w:textAlignment w:val="center"/>
              <w:rPr>
                <w:rFonts w:ascii="Times New Roman Regular" w:hAnsi="Times New Roman Regular"/>
                <w:kern w:val="0"/>
              </w:rPr>
            </w:pPr>
            <w:r>
              <w:rPr>
                <w:rFonts w:ascii="Times New Roman Regular" w:hAnsi="Times New Roman Regular"/>
                <w:color w:val="000000"/>
                <w:kern w:val="0"/>
              </w:rPr>
              <w:t>4.8 (3.88)</w:t>
            </w:r>
          </w:p>
        </w:tc>
      </w:tr>
      <w:tr w14:paraId="2EE219F0">
        <w:tc>
          <w:tcPr>
            <w:tcW w:w="2314" w:type="dxa"/>
            <w:tcBorders>
              <w:top w:val="nil"/>
              <w:left w:val="nil"/>
              <w:bottom w:val="nil"/>
              <w:right w:val="nil"/>
            </w:tcBorders>
            <w:vAlign w:val="center"/>
          </w:tcPr>
          <w:p w14:paraId="5A94C86E">
            <w:pPr>
              <w:widowControl/>
              <w:jc w:val="left"/>
              <w:textAlignment w:val="center"/>
              <w:rPr>
                <w:rFonts w:ascii="Times New Roman Regular" w:hAnsi="Times New Roman Regular"/>
                <w:kern w:val="0"/>
              </w:rPr>
            </w:pPr>
            <w:r>
              <w:rPr>
                <w:rFonts w:ascii="Times New Roman Regular" w:hAnsi="Times New Roman Regular"/>
                <w:color w:val="000000"/>
                <w:kern w:val="0"/>
              </w:rPr>
              <w:t>Rash pustular#</w:t>
            </w:r>
          </w:p>
        </w:tc>
        <w:tc>
          <w:tcPr>
            <w:tcW w:w="4034" w:type="dxa"/>
            <w:tcBorders>
              <w:top w:val="nil"/>
              <w:left w:val="nil"/>
              <w:bottom w:val="nil"/>
              <w:right w:val="nil"/>
            </w:tcBorders>
            <w:vAlign w:val="center"/>
          </w:tcPr>
          <w:p w14:paraId="18DA1B06">
            <w:pPr>
              <w:widowControl/>
              <w:jc w:val="left"/>
              <w:textAlignment w:val="center"/>
              <w:rPr>
                <w:rFonts w:ascii="Times New Roman Regular" w:hAnsi="Times New Roman Regular"/>
                <w:kern w:val="0"/>
              </w:rPr>
            </w:pPr>
            <w:r>
              <w:rPr>
                <w:rFonts w:ascii="Times New Roman Regular" w:hAnsi="Times New Roman Regular"/>
                <w:color w:val="000000"/>
                <w:kern w:val="0"/>
              </w:rPr>
              <w:t>Skin and subcutaneous tissue disorders#</w:t>
            </w:r>
          </w:p>
        </w:tc>
        <w:tc>
          <w:tcPr>
            <w:tcW w:w="1166" w:type="dxa"/>
            <w:tcBorders>
              <w:top w:val="nil"/>
              <w:left w:val="nil"/>
              <w:bottom w:val="nil"/>
              <w:right w:val="nil"/>
            </w:tcBorders>
            <w:vAlign w:val="center"/>
          </w:tcPr>
          <w:p w14:paraId="024B80B6">
            <w:pPr>
              <w:widowControl/>
              <w:jc w:val="center"/>
              <w:textAlignment w:val="center"/>
              <w:rPr>
                <w:rFonts w:ascii="Times New Roman Regular" w:hAnsi="Times New Roman Regular"/>
                <w:kern w:val="0"/>
              </w:rPr>
            </w:pPr>
            <w:r>
              <w:rPr>
                <w:rFonts w:ascii="Times New Roman Regular" w:hAnsi="Times New Roman Regular"/>
                <w:color w:val="000000"/>
                <w:kern w:val="0"/>
              </w:rPr>
              <w:t>85</w:t>
            </w:r>
          </w:p>
        </w:tc>
        <w:tc>
          <w:tcPr>
            <w:tcW w:w="1913" w:type="dxa"/>
            <w:tcBorders>
              <w:top w:val="nil"/>
              <w:left w:val="nil"/>
              <w:bottom w:val="nil"/>
              <w:right w:val="nil"/>
            </w:tcBorders>
            <w:vAlign w:val="center"/>
          </w:tcPr>
          <w:p w14:paraId="25957D31">
            <w:pPr>
              <w:widowControl/>
              <w:jc w:val="center"/>
              <w:textAlignment w:val="center"/>
              <w:rPr>
                <w:rFonts w:ascii="Times New Roman Regular" w:hAnsi="Times New Roman Regular"/>
                <w:kern w:val="0"/>
              </w:rPr>
            </w:pPr>
            <w:r>
              <w:rPr>
                <w:rFonts w:ascii="Times New Roman Regular" w:hAnsi="Times New Roman Regular"/>
                <w:color w:val="000000"/>
                <w:kern w:val="0"/>
              </w:rPr>
              <w:t>9.8 (7.9-12.16)</w:t>
            </w:r>
          </w:p>
        </w:tc>
        <w:tc>
          <w:tcPr>
            <w:tcW w:w="1982" w:type="dxa"/>
            <w:tcBorders>
              <w:top w:val="nil"/>
              <w:left w:val="nil"/>
              <w:bottom w:val="nil"/>
              <w:right w:val="nil"/>
            </w:tcBorders>
            <w:vAlign w:val="center"/>
          </w:tcPr>
          <w:p w14:paraId="72F087AF">
            <w:pPr>
              <w:widowControl/>
              <w:jc w:val="center"/>
              <w:textAlignment w:val="center"/>
              <w:rPr>
                <w:rFonts w:ascii="Times New Roman Regular" w:hAnsi="Times New Roman Regular"/>
                <w:kern w:val="0"/>
              </w:rPr>
            </w:pPr>
            <w:r>
              <w:rPr>
                <w:rFonts w:ascii="Times New Roman Regular" w:hAnsi="Times New Roman Regular"/>
                <w:color w:val="000000"/>
                <w:kern w:val="0"/>
              </w:rPr>
              <w:t>9.77 (7.88-12.12)</w:t>
            </w:r>
          </w:p>
        </w:tc>
        <w:tc>
          <w:tcPr>
            <w:tcW w:w="1322" w:type="dxa"/>
            <w:tcBorders>
              <w:top w:val="nil"/>
              <w:left w:val="nil"/>
              <w:bottom w:val="nil"/>
              <w:right w:val="nil"/>
            </w:tcBorders>
            <w:vAlign w:val="center"/>
          </w:tcPr>
          <w:p w14:paraId="10922EFA">
            <w:pPr>
              <w:widowControl/>
              <w:jc w:val="center"/>
              <w:textAlignment w:val="center"/>
              <w:rPr>
                <w:rFonts w:ascii="Times New Roman Regular" w:hAnsi="Times New Roman Regular"/>
                <w:kern w:val="0"/>
              </w:rPr>
            </w:pPr>
            <w:r>
              <w:rPr>
                <w:rFonts w:ascii="Times New Roman Regular" w:hAnsi="Times New Roman Regular"/>
                <w:color w:val="000000"/>
                <w:kern w:val="0"/>
              </w:rPr>
              <w:t>3.25 (2.54)</w:t>
            </w:r>
          </w:p>
        </w:tc>
        <w:tc>
          <w:tcPr>
            <w:tcW w:w="1443" w:type="dxa"/>
            <w:tcBorders>
              <w:top w:val="nil"/>
              <w:left w:val="nil"/>
              <w:bottom w:val="nil"/>
              <w:right w:val="nil"/>
            </w:tcBorders>
            <w:vAlign w:val="center"/>
          </w:tcPr>
          <w:p w14:paraId="5320DD99">
            <w:pPr>
              <w:widowControl/>
              <w:jc w:val="center"/>
              <w:textAlignment w:val="center"/>
              <w:rPr>
                <w:rFonts w:ascii="Times New Roman Regular" w:hAnsi="Times New Roman Regular"/>
                <w:kern w:val="0"/>
              </w:rPr>
            </w:pPr>
            <w:r>
              <w:rPr>
                <w:rFonts w:ascii="Times New Roman Regular" w:hAnsi="Times New Roman Regular"/>
                <w:color w:val="000000"/>
                <w:kern w:val="0"/>
              </w:rPr>
              <w:t>9.53 (7.68)</w:t>
            </w:r>
          </w:p>
        </w:tc>
      </w:tr>
      <w:tr w14:paraId="07B438AD">
        <w:tc>
          <w:tcPr>
            <w:tcW w:w="2314" w:type="dxa"/>
            <w:tcBorders>
              <w:top w:val="nil"/>
              <w:left w:val="nil"/>
              <w:bottom w:val="nil"/>
              <w:right w:val="nil"/>
            </w:tcBorders>
            <w:vAlign w:val="center"/>
          </w:tcPr>
          <w:p w14:paraId="3309E07C">
            <w:pPr>
              <w:widowControl/>
              <w:jc w:val="left"/>
              <w:textAlignment w:val="center"/>
              <w:rPr>
                <w:rFonts w:ascii="Times New Roman Regular" w:hAnsi="Times New Roman Regular"/>
                <w:kern w:val="0"/>
              </w:rPr>
            </w:pPr>
            <w:r>
              <w:rPr>
                <w:rFonts w:ascii="Times New Roman Regular" w:hAnsi="Times New Roman Regular"/>
                <w:color w:val="000000"/>
                <w:kern w:val="0"/>
              </w:rPr>
              <w:t>Pneumonitis</w:t>
            </w:r>
          </w:p>
        </w:tc>
        <w:tc>
          <w:tcPr>
            <w:tcW w:w="4034" w:type="dxa"/>
            <w:tcBorders>
              <w:top w:val="nil"/>
              <w:left w:val="nil"/>
              <w:bottom w:val="nil"/>
              <w:right w:val="nil"/>
            </w:tcBorders>
            <w:vAlign w:val="center"/>
          </w:tcPr>
          <w:p w14:paraId="1CF5B5CA">
            <w:pPr>
              <w:widowControl/>
              <w:jc w:val="left"/>
              <w:textAlignment w:val="center"/>
              <w:rPr>
                <w:rFonts w:ascii="Times New Roman Regular" w:hAnsi="Times New Roman Regular"/>
                <w:kern w:val="0"/>
              </w:rPr>
            </w:pPr>
            <w:r>
              <w:rPr>
                <w:rFonts w:ascii="Times New Roman Regular" w:hAnsi="Times New Roman Regular"/>
                <w:color w:val="000000"/>
                <w:kern w:val="0"/>
              </w:rPr>
              <w:t>Respiratory, thoracic and mediastinal disorders</w:t>
            </w:r>
          </w:p>
        </w:tc>
        <w:tc>
          <w:tcPr>
            <w:tcW w:w="1166" w:type="dxa"/>
            <w:tcBorders>
              <w:top w:val="nil"/>
              <w:left w:val="nil"/>
              <w:bottom w:val="nil"/>
              <w:right w:val="nil"/>
            </w:tcBorders>
            <w:vAlign w:val="center"/>
          </w:tcPr>
          <w:p w14:paraId="194BB777">
            <w:pPr>
              <w:widowControl/>
              <w:jc w:val="center"/>
              <w:textAlignment w:val="center"/>
              <w:rPr>
                <w:rFonts w:ascii="Times New Roman Regular" w:hAnsi="Times New Roman Regular"/>
                <w:kern w:val="0"/>
              </w:rPr>
            </w:pPr>
            <w:r>
              <w:rPr>
                <w:rFonts w:ascii="Times New Roman Regular" w:hAnsi="Times New Roman Regular"/>
                <w:color w:val="000000"/>
                <w:kern w:val="0"/>
              </w:rPr>
              <w:t>84</w:t>
            </w:r>
          </w:p>
        </w:tc>
        <w:tc>
          <w:tcPr>
            <w:tcW w:w="1913" w:type="dxa"/>
            <w:tcBorders>
              <w:top w:val="nil"/>
              <w:left w:val="nil"/>
              <w:bottom w:val="nil"/>
              <w:right w:val="nil"/>
            </w:tcBorders>
            <w:vAlign w:val="center"/>
          </w:tcPr>
          <w:p w14:paraId="08CA02BC">
            <w:pPr>
              <w:widowControl/>
              <w:jc w:val="center"/>
              <w:textAlignment w:val="center"/>
              <w:rPr>
                <w:rFonts w:ascii="Times New Roman Regular" w:hAnsi="Times New Roman Regular"/>
                <w:kern w:val="0"/>
              </w:rPr>
            </w:pPr>
            <w:r>
              <w:rPr>
                <w:rFonts w:ascii="Times New Roman Regular" w:hAnsi="Times New Roman Regular"/>
                <w:color w:val="000000"/>
                <w:kern w:val="0"/>
              </w:rPr>
              <w:t>3.42 (2.76-4.25)</w:t>
            </w:r>
          </w:p>
        </w:tc>
        <w:tc>
          <w:tcPr>
            <w:tcW w:w="1982" w:type="dxa"/>
            <w:tcBorders>
              <w:top w:val="nil"/>
              <w:left w:val="nil"/>
              <w:bottom w:val="nil"/>
              <w:right w:val="nil"/>
            </w:tcBorders>
            <w:vAlign w:val="center"/>
          </w:tcPr>
          <w:p w14:paraId="48D7AA1B">
            <w:pPr>
              <w:widowControl/>
              <w:jc w:val="center"/>
              <w:textAlignment w:val="center"/>
              <w:rPr>
                <w:rFonts w:ascii="Times New Roman Regular" w:hAnsi="Times New Roman Regular"/>
                <w:kern w:val="0"/>
              </w:rPr>
            </w:pPr>
            <w:r>
              <w:rPr>
                <w:rFonts w:ascii="Times New Roman Regular" w:hAnsi="Times New Roman Regular"/>
                <w:color w:val="000000"/>
                <w:kern w:val="0"/>
              </w:rPr>
              <w:t>3.42 (2.76-4.23)</w:t>
            </w:r>
          </w:p>
        </w:tc>
        <w:tc>
          <w:tcPr>
            <w:tcW w:w="1322" w:type="dxa"/>
            <w:tcBorders>
              <w:top w:val="nil"/>
              <w:left w:val="nil"/>
              <w:bottom w:val="nil"/>
              <w:right w:val="nil"/>
            </w:tcBorders>
            <w:vAlign w:val="center"/>
          </w:tcPr>
          <w:p w14:paraId="14A5B669">
            <w:pPr>
              <w:widowControl/>
              <w:jc w:val="center"/>
              <w:textAlignment w:val="center"/>
              <w:rPr>
                <w:rFonts w:ascii="Times New Roman Regular" w:hAnsi="Times New Roman Regular"/>
                <w:kern w:val="0"/>
              </w:rPr>
            </w:pPr>
            <w:r>
              <w:rPr>
                <w:rFonts w:ascii="Times New Roman Regular" w:hAnsi="Times New Roman Regular"/>
                <w:color w:val="000000"/>
                <w:kern w:val="0"/>
              </w:rPr>
              <w:t>1.76 (1.05)</w:t>
            </w:r>
          </w:p>
        </w:tc>
        <w:tc>
          <w:tcPr>
            <w:tcW w:w="1443" w:type="dxa"/>
            <w:tcBorders>
              <w:top w:val="nil"/>
              <w:left w:val="nil"/>
              <w:bottom w:val="nil"/>
              <w:right w:val="nil"/>
            </w:tcBorders>
            <w:vAlign w:val="center"/>
          </w:tcPr>
          <w:p w14:paraId="3453A380">
            <w:pPr>
              <w:widowControl/>
              <w:jc w:val="center"/>
              <w:textAlignment w:val="center"/>
              <w:rPr>
                <w:rFonts w:ascii="Times New Roman Regular" w:hAnsi="Times New Roman Regular"/>
                <w:kern w:val="0"/>
              </w:rPr>
            </w:pPr>
            <w:r>
              <w:rPr>
                <w:rFonts w:ascii="Times New Roman Regular" w:hAnsi="Times New Roman Regular"/>
                <w:color w:val="000000"/>
                <w:kern w:val="0"/>
              </w:rPr>
              <w:t>3.39 (2.74)</w:t>
            </w:r>
          </w:p>
        </w:tc>
      </w:tr>
      <w:tr w14:paraId="71CB1E21">
        <w:tc>
          <w:tcPr>
            <w:tcW w:w="2314" w:type="dxa"/>
            <w:tcBorders>
              <w:top w:val="nil"/>
              <w:left w:val="nil"/>
              <w:bottom w:val="nil"/>
              <w:right w:val="nil"/>
            </w:tcBorders>
            <w:vAlign w:val="center"/>
          </w:tcPr>
          <w:p w14:paraId="27EEE9CA">
            <w:pPr>
              <w:widowControl/>
              <w:jc w:val="left"/>
              <w:textAlignment w:val="center"/>
              <w:rPr>
                <w:rFonts w:ascii="Times New Roman Regular" w:hAnsi="Times New Roman Regular"/>
                <w:kern w:val="0"/>
              </w:rPr>
            </w:pPr>
            <w:r>
              <w:rPr>
                <w:rFonts w:ascii="Times New Roman Regular" w:hAnsi="Times New Roman Regular"/>
                <w:color w:val="000000"/>
                <w:kern w:val="0"/>
              </w:rPr>
              <w:t>Eye pruritus#</w:t>
            </w:r>
          </w:p>
        </w:tc>
        <w:tc>
          <w:tcPr>
            <w:tcW w:w="4034" w:type="dxa"/>
            <w:tcBorders>
              <w:top w:val="nil"/>
              <w:left w:val="nil"/>
              <w:bottom w:val="nil"/>
              <w:right w:val="nil"/>
            </w:tcBorders>
            <w:vAlign w:val="center"/>
          </w:tcPr>
          <w:p w14:paraId="138BB2EB">
            <w:pPr>
              <w:widowControl/>
              <w:jc w:val="left"/>
              <w:textAlignment w:val="center"/>
              <w:rPr>
                <w:rFonts w:ascii="Times New Roman Regular" w:hAnsi="Times New Roman Regular"/>
                <w:kern w:val="0"/>
              </w:rPr>
            </w:pPr>
            <w:r>
              <w:rPr>
                <w:rFonts w:ascii="Times New Roman Regular" w:hAnsi="Times New Roman Regular"/>
                <w:color w:val="000000"/>
                <w:kern w:val="0"/>
              </w:rPr>
              <w:t>Eye disorders</w:t>
            </w:r>
          </w:p>
        </w:tc>
        <w:tc>
          <w:tcPr>
            <w:tcW w:w="1166" w:type="dxa"/>
            <w:tcBorders>
              <w:top w:val="nil"/>
              <w:left w:val="nil"/>
              <w:bottom w:val="nil"/>
              <w:right w:val="nil"/>
            </w:tcBorders>
            <w:vAlign w:val="center"/>
          </w:tcPr>
          <w:p w14:paraId="715B8E40">
            <w:pPr>
              <w:widowControl/>
              <w:jc w:val="center"/>
              <w:textAlignment w:val="center"/>
              <w:rPr>
                <w:rFonts w:ascii="Times New Roman Regular" w:hAnsi="Times New Roman Regular"/>
                <w:kern w:val="0"/>
              </w:rPr>
            </w:pPr>
            <w:r>
              <w:rPr>
                <w:rFonts w:ascii="Times New Roman Regular" w:hAnsi="Times New Roman Regular"/>
                <w:color w:val="000000"/>
                <w:kern w:val="0"/>
              </w:rPr>
              <w:t>84</w:t>
            </w:r>
          </w:p>
        </w:tc>
        <w:tc>
          <w:tcPr>
            <w:tcW w:w="1913" w:type="dxa"/>
            <w:tcBorders>
              <w:top w:val="nil"/>
              <w:left w:val="nil"/>
              <w:bottom w:val="nil"/>
              <w:right w:val="nil"/>
            </w:tcBorders>
            <w:vAlign w:val="center"/>
          </w:tcPr>
          <w:p w14:paraId="606D25E2">
            <w:pPr>
              <w:widowControl/>
              <w:jc w:val="center"/>
              <w:textAlignment w:val="center"/>
              <w:rPr>
                <w:rFonts w:ascii="Times New Roman Regular" w:hAnsi="Times New Roman Regular"/>
                <w:kern w:val="0"/>
              </w:rPr>
            </w:pPr>
            <w:r>
              <w:rPr>
                <w:rFonts w:ascii="Times New Roman Regular" w:hAnsi="Times New Roman Regular"/>
                <w:color w:val="000000"/>
                <w:kern w:val="0"/>
              </w:rPr>
              <w:t>2.78 (2.24-3.44)</w:t>
            </w:r>
          </w:p>
        </w:tc>
        <w:tc>
          <w:tcPr>
            <w:tcW w:w="1982" w:type="dxa"/>
            <w:tcBorders>
              <w:top w:val="nil"/>
              <w:left w:val="nil"/>
              <w:bottom w:val="nil"/>
              <w:right w:val="nil"/>
            </w:tcBorders>
            <w:vAlign w:val="center"/>
          </w:tcPr>
          <w:p w14:paraId="565339E0">
            <w:pPr>
              <w:widowControl/>
              <w:jc w:val="center"/>
              <w:textAlignment w:val="center"/>
              <w:rPr>
                <w:rFonts w:ascii="Times New Roman Regular" w:hAnsi="Times New Roman Regular"/>
                <w:kern w:val="0"/>
              </w:rPr>
            </w:pPr>
            <w:r>
              <w:rPr>
                <w:rFonts w:ascii="Times New Roman Regular" w:hAnsi="Times New Roman Regular"/>
                <w:color w:val="000000"/>
                <w:kern w:val="0"/>
              </w:rPr>
              <w:t>2.77 (2.24-3.43)</w:t>
            </w:r>
          </w:p>
        </w:tc>
        <w:tc>
          <w:tcPr>
            <w:tcW w:w="1322" w:type="dxa"/>
            <w:tcBorders>
              <w:top w:val="nil"/>
              <w:left w:val="nil"/>
              <w:bottom w:val="nil"/>
              <w:right w:val="nil"/>
            </w:tcBorders>
            <w:vAlign w:val="center"/>
          </w:tcPr>
          <w:p w14:paraId="51E019FF">
            <w:pPr>
              <w:widowControl/>
              <w:jc w:val="center"/>
              <w:textAlignment w:val="center"/>
              <w:rPr>
                <w:rFonts w:ascii="Times New Roman Regular" w:hAnsi="Times New Roman Regular"/>
                <w:kern w:val="0"/>
              </w:rPr>
            </w:pPr>
            <w:r>
              <w:rPr>
                <w:rFonts w:ascii="Times New Roman Regular" w:hAnsi="Times New Roman Regular"/>
                <w:color w:val="000000"/>
                <w:kern w:val="0"/>
              </w:rPr>
              <w:t>1.46 (0.75)</w:t>
            </w:r>
          </w:p>
        </w:tc>
        <w:tc>
          <w:tcPr>
            <w:tcW w:w="1443" w:type="dxa"/>
            <w:tcBorders>
              <w:top w:val="nil"/>
              <w:left w:val="nil"/>
              <w:bottom w:val="nil"/>
              <w:right w:val="nil"/>
            </w:tcBorders>
            <w:vAlign w:val="center"/>
          </w:tcPr>
          <w:p w14:paraId="1D521A64">
            <w:pPr>
              <w:widowControl/>
              <w:jc w:val="center"/>
              <w:textAlignment w:val="center"/>
              <w:rPr>
                <w:rFonts w:ascii="Times New Roman Regular" w:hAnsi="Times New Roman Regular"/>
                <w:kern w:val="0"/>
              </w:rPr>
            </w:pPr>
            <w:r>
              <w:rPr>
                <w:rFonts w:ascii="Times New Roman Regular" w:hAnsi="Times New Roman Regular"/>
                <w:color w:val="000000"/>
                <w:kern w:val="0"/>
              </w:rPr>
              <w:t>2.76 (2.22)</w:t>
            </w:r>
          </w:p>
        </w:tc>
      </w:tr>
      <w:tr w14:paraId="673B9B0A">
        <w:tc>
          <w:tcPr>
            <w:tcW w:w="2314" w:type="dxa"/>
            <w:tcBorders>
              <w:top w:val="nil"/>
              <w:left w:val="nil"/>
              <w:bottom w:val="nil"/>
              <w:right w:val="nil"/>
            </w:tcBorders>
            <w:vAlign w:val="center"/>
          </w:tcPr>
          <w:p w14:paraId="184FD3D9">
            <w:pPr>
              <w:widowControl/>
              <w:jc w:val="left"/>
              <w:textAlignment w:val="center"/>
              <w:rPr>
                <w:rFonts w:ascii="Times New Roman Regular" w:hAnsi="Times New Roman Regular"/>
                <w:kern w:val="0"/>
              </w:rPr>
            </w:pPr>
            <w:r>
              <w:rPr>
                <w:rFonts w:ascii="Times New Roman Regular" w:hAnsi="Times New Roman Regular"/>
                <w:color w:val="000000"/>
                <w:kern w:val="0"/>
              </w:rPr>
              <w:t>Lung cancer metastatic#</w:t>
            </w:r>
          </w:p>
        </w:tc>
        <w:tc>
          <w:tcPr>
            <w:tcW w:w="4034" w:type="dxa"/>
            <w:tcBorders>
              <w:top w:val="nil"/>
              <w:left w:val="nil"/>
              <w:bottom w:val="nil"/>
              <w:right w:val="nil"/>
            </w:tcBorders>
            <w:vAlign w:val="center"/>
          </w:tcPr>
          <w:p w14:paraId="497EE90C">
            <w:pPr>
              <w:widowControl/>
              <w:jc w:val="left"/>
              <w:textAlignment w:val="center"/>
              <w:rPr>
                <w:rFonts w:ascii="Times New Roman Regular" w:hAnsi="Times New Roman Regular"/>
                <w:kern w:val="0"/>
              </w:rPr>
            </w:pPr>
            <w:r>
              <w:rPr>
                <w:rFonts w:ascii="Times New Roman Regular" w:hAnsi="Times New Roman Regular"/>
                <w:color w:val="000000"/>
                <w:kern w:val="0"/>
              </w:rPr>
              <w:t>Respiratory, thoracic and mediastinal disorders#</w:t>
            </w:r>
          </w:p>
        </w:tc>
        <w:tc>
          <w:tcPr>
            <w:tcW w:w="1166" w:type="dxa"/>
            <w:tcBorders>
              <w:top w:val="nil"/>
              <w:left w:val="nil"/>
              <w:bottom w:val="nil"/>
              <w:right w:val="nil"/>
            </w:tcBorders>
            <w:vAlign w:val="center"/>
          </w:tcPr>
          <w:p w14:paraId="24BF5A90">
            <w:pPr>
              <w:widowControl/>
              <w:jc w:val="center"/>
              <w:textAlignment w:val="center"/>
              <w:rPr>
                <w:rFonts w:ascii="Times New Roman Regular" w:hAnsi="Times New Roman Regular"/>
                <w:kern w:val="0"/>
              </w:rPr>
            </w:pPr>
            <w:r>
              <w:rPr>
                <w:rFonts w:ascii="Times New Roman Regular" w:hAnsi="Times New Roman Regular"/>
                <w:color w:val="000000"/>
                <w:kern w:val="0"/>
              </w:rPr>
              <w:t>80</w:t>
            </w:r>
          </w:p>
        </w:tc>
        <w:tc>
          <w:tcPr>
            <w:tcW w:w="1913" w:type="dxa"/>
            <w:tcBorders>
              <w:top w:val="nil"/>
              <w:left w:val="nil"/>
              <w:bottom w:val="nil"/>
              <w:right w:val="nil"/>
            </w:tcBorders>
            <w:vAlign w:val="center"/>
          </w:tcPr>
          <w:p w14:paraId="5C01FAB0">
            <w:pPr>
              <w:widowControl/>
              <w:jc w:val="center"/>
              <w:textAlignment w:val="center"/>
              <w:rPr>
                <w:rFonts w:ascii="Times New Roman Regular" w:hAnsi="Times New Roman Regular"/>
                <w:kern w:val="0"/>
              </w:rPr>
            </w:pPr>
            <w:r>
              <w:rPr>
                <w:rFonts w:ascii="Times New Roman Regular" w:hAnsi="Times New Roman Regular"/>
                <w:color w:val="000000"/>
                <w:kern w:val="0"/>
              </w:rPr>
              <w:t>22.24 (17.73-27.89)</w:t>
            </w:r>
          </w:p>
        </w:tc>
        <w:tc>
          <w:tcPr>
            <w:tcW w:w="1982" w:type="dxa"/>
            <w:tcBorders>
              <w:top w:val="nil"/>
              <w:left w:val="nil"/>
              <w:bottom w:val="nil"/>
              <w:right w:val="nil"/>
            </w:tcBorders>
            <w:vAlign w:val="center"/>
          </w:tcPr>
          <w:p w14:paraId="52FB0A80">
            <w:pPr>
              <w:widowControl/>
              <w:jc w:val="center"/>
              <w:textAlignment w:val="center"/>
              <w:rPr>
                <w:rFonts w:ascii="Times New Roman Regular" w:hAnsi="Times New Roman Regular"/>
                <w:kern w:val="0"/>
              </w:rPr>
            </w:pPr>
            <w:r>
              <w:rPr>
                <w:rFonts w:ascii="Times New Roman Regular" w:hAnsi="Times New Roman Regular"/>
                <w:color w:val="000000"/>
                <w:kern w:val="0"/>
              </w:rPr>
              <w:t>22.18 (17.7-27.79)</w:t>
            </w:r>
          </w:p>
        </w:tc>
        <w:tc>
          <w:tcPr>
            <w:tcW w:w="1322" w:type="dxa"/>
            <w:tcBorders>
              <w:top w:val="nil"/>
              <w:left w:val="nil"/>
              <w:bottom w:val="nil"/>
              <w:right w:val="nil"/>
            </w:tcBorders>
            <w:vAlign w:val="center"/>
          </w:tcPr>
          <w:p w14:paraId="03CEC52B">
            <w:pPr>
              <w:widowControl/>
              <w:jc w:val="center"/>
              <w:textAlignment w:val="center"/>
              <w:rPr>
                <w:rFonts w:ascii="Times New Roman Regular" w:hAnsi="Times New Roman Regular"/>
                <w:kern w:val="0"/>
              </w:rPr>
            </w:pPr>
            <w:r>
              <w:rPr>
                <w:rFonts w:ascii="Times New Roman Regular" w:hAnsi="Times New Roman Regular"/>
                <w:color w:val="000000"/>
                <w:kern w:val="0"/>
              </w:rPr>
              <w:t>4.39 (3.64)</w:t>
            </w:r>
          </w:p>
        </w:tc>
        <w:tc>
          <w:tcPr>
            <w:tcW w:w="1443" w:type="dxa"/>
            <w:tcBorders>
              <w:top w:val="nil"/>
              <w:left w:val="nil"/>
              <w:bottom w:val="nil"/>
              <w:right w:val="nil"/>
            </w:tcBorders>
            <w:vAlign w:val="center"/>
          </w:tcPr>
          <w:p w14:paraId="2E6EAEFB">
            <w:pPr>
              <w:widowControl/>
              <w:jc w:val="center"/>
              <w:textAlignment w:val="center"/>
              <w:rPr>
                <w:rFonts w:ascii="Times New Roman Regular" w:hAnsi="Times New Roman Regular"/>
                <w:kern w:val="0"/>
              </w:rPr>
            </w:pPr>
            <w:r>
              <w:rPr>
                <w:rFonts w:ascii="Times New Roman Regular" w:hAnsi="Times New Roman Regular"/>
                <w:color w:val="000000"/>
                <w:kern w:val="0"/>
              </w:rPr>
              <w:t>20.9 (16.67)</w:t>
            </w:r>
          </w:p>
        </w:tc>
      </w:tr>
      <w:tr w14:paraId="06F478A1">
        <w:tc>
          <w:tcPr>
            <w:tcW w:w="2314" w:type="dxa"/>
            <w:tcBorders>
              <w:top w:val="nil"/>
              <w:left w:val="nil"/>
              <w:bottom w:val="nil"/>
              <w:right w:val="nil"/>
            </w:tcBorders>
            <w:vAlign w:val="center"/>
          </w:tcPr>
          <w:p w14:paraId="74B7AFE3">
            <w:pPr>
              <w:widowControl/>
              <w:jc w:val="left"/>
              <w:textAlignment w:val="center"/>
              <w:rPr>
                <w:rFonts w:ascii="Times New Roman Regular" w:hAnsi="Times New Roman Regular"/>
                <w:kern w:val="0"/>
              </w:rPr>
            </w:pPr>
            <w:r>
              <w:rPr>
                <w:rFonts w:ascii="Times New Roman Regular" w:hAnsi="Times New Roman Regular"/>
                <w:color w:val="000000"/>
                <w:kern w:val="0"/>
              </w:rPr>
              <w:t>Hair texture abnormal</w:t>
            </w:r>
          </w:p>
        </w:tc>
        <w:tc>
          <w:tcPr>
            <w:tcW w:w="4034" w:type="dxa"/>
            <w:tcBorders>
              <w:top w:val="nil"/>
              <w:left w:val="nil"/>
              <w:bottom w:val="nil"/>
              <w:right w:val="nil"/>
            </w:tcBorders>
            <w:vAlign w:val="center"/>
          </w:tcPr>
          <w:p w14:paraId="45E38ED3">
            <w:pPr>
              <w:widowControl/>
              <w:jc w:val="left"/>
              <w:textAlignment w:val="center"/>
              <w:rPr>
                <w:rFonts w:ascii="Times New Roman Regular" w:hAnsi="Times New Roman Regular"/>
                <w:kern w:val="0"/>
              </w:rPr>
            </w:pPr>
            <w:r>
              <w:rPr>
                <w:rFonts w:ascii="Times New Roman Regular" w:hAnsi="Times New Roman Regular"/>
                <w:color w:val="000000"/>
                <w:kern w:val="0"/>
              </w:rPr>
              <w:t>Skin and subcutaneous tissue disorders</w:t>
            </w:r>
          </w:p>
        </w:tc>
        <w:tc>
          <w:tcPr>
            <w:tcW w:w="1166" w:type="dxa"/>
            <w:tcBorders>
              <w:top w:val="nil"/>
              <w:left w:val="nil"/>
              <w:bottom w:val="nil"/>
              <w:right w:val="nil"/>
            </w:tcBorders>
            <w:vAlign w:val="center"/>
          </w:tcPr>
          <w:p w14:paraId="45EB1C21">
            <w:pPr>
              <w:widowControl/>
              <w:jc w:val="center"/>
              <w:textAlignment w:val="center"/>
              <w:rPr>
                <w:rFonts w:ascii="Times New Roman Regular" w:hAnsi="Times New Roman Regular"/>
                <w:kern w:val="0"/>
              </w:rPr>
            </w:pPr>
            <w:r>
              <w:rPr>
                <w:rFonts w:ascii="Times New Roman Regular" w:hAnsi="Times New Roman Regular"/>
                <w:color w:val="000000"/>
                <w:kern w:val="0"/>
              </w:rPr>
              <w:t>75</w:t>
            </w:r>
          </w:p>
        </w:tc>
        <w:tc>
          <w:tcPr>
            <w:tcW w:w="1913" w:type="dxa"/>
            <w:tcBorders>
              <w:top w:val="nil"/>
              <w:left w:val="nil"/>
              <w:bottom w:val="nil"/>
              <w:right w:val="nil"/>
            </w:tcBorders>
            <w:vAlign w:val="center"/>
          </w:tcPr>
          <w:p w14:paraId="67A2F1E8">
            <w:pPr>
              <w:widowControl/>
              <w:jc w:val="center"/>
              <w:textAlignment w:val="center"/>
              <w:rPr>
                <w:rFonts w:ascii="Times New Roman Regular" w:hAnsi="Times New Roman Regular"/>
                <w:kern w:val="0"/>
              </w:rPr>
            </w:pPr>
            <w:r>
              <w:rPr>
                <w:rFonts w:ascii="Times New Roman Regular" w:hAnsi="Times New Roman Regular"/>
                <w:color w:val="000000"/>
                <w:kern w:val="0"/>
              </w:rPr>
              <w:t>4.46 (3.55-5.6)</w:t>
            </w:r>
          </w:p>
        </w:tc>
        <w:tc>
          <w:tcPr>
            <w:tcW w:w="1982" w:type="dxa"/>
            <w:tcBorders>
              <w:top w:val="nil"/>
              <w:left w:val="nil"/>
              <w:bottom w:val="nil"/>
              <w:right w:val="nil"/>
            </w:tcBorders>
            <w:vAlign w:val="center"/>
          </w:tcPr>
          <w:p w14:paraId="71273BE7">
            <w:pPr>
              <w:widowControl/>
              <w:jc w:val="center"/>
              <w:textAlignment w:val="center"/>
              <w:rPr>
                <w:rFonts w:ascii="Times New Roman Regular" w:hAnsi="Times New Roman Regular"/>
                <w:kern w:val="0"/>
              </w:rPr>
            </w:pPr>
            <w:r>
              <w:rPr>
                <w:rFonts w:ascii="Times New Roman Regular" w:hAnsi="Times New Roman Regular"/>
                <w:color w:val="000000"/>
                <w:kern w:val="0"/>
              </w:rPr>
              <w:t>4.45 (3.54-5.58)</w:t>
            </w:r>
          </w:p>
        </w:tc>
        <w:tc>
          <w:tcPr>
            <w:tcW w:w="1322" w:type="dxa"/>
            <w:tcBorders>
              <w:top w:val="nil"/>
              <w:left w:val="nil"/>
              <w:bottom w:val="nil"/>
              <w:right w:val="nil"/>
            </w:tcBorders>
            <w:vAlign w:val="center"/>
          </w:tcPr>
          <w:p w14:paraId="0931F8F8">
            <w:pPr>
              <w:widowControl/>
              <w:jc w:val="center"/>
              <w:textAlignment w:val="center"/>
              <w:rPr>
                <w:rFonts w:ascii="Times New Roman Regular" w:hAnsi="Times New Roman Regular"/>
                <w:kern w:val="0"/>
              </w:rPr>
            </w:pPr>
            <w:r>
              <w:rPr>
                <w:rFonts w:ascii="Times New Roman Regular" w:hAnsi="Times New Roman Regular"/>
                <w:color w:val="000000"/>
                <w:kern w:val="0"/>
              </w:rPr>
              <w:t>2.14 (1.39)</w:t>
            </w:r>
          </w:p>
        </w:tc>
        <w:tc>
          <w:tcPr>
            <w:tcW w:w="1443" w:type="dxa"/>
            <w:tcBorders>
              <w:top w:val="nil"/>
              <w:left w:val="nil"/>
              <w:bottom w:val="nil"/>
              <w:right w:val="nil"/>
            </w:tcBorders>
            <w:vAlign w:val="center"/>
          </w:tcPr>
          <w:p w14:paraId="5D28F2B9">
            <w:pPr>
              <w:widowControl/>
              <w:jc w:val="center"/>
              <w:textAlignment w:val="center"/>
              <w:rPr>
                <w:rFonts w:ascii="Times New Roman Regular" w:hAnsi="Times New Roman Regular"/>
                <w:kern w:val="0"/>
              </w:rPr>
            </w:pPr>
            <w:r>
              <w:rPr>
                <w:rFonts w:ascii="Times New Roman Regular" w:hAnsi="Times New Roman Regular"/>
                <w:color w:val="000000"/>
                <w:kern w:val="0"/>
              </w:rPr>
              <w:t>4.4 (3.5)</w:t>
            </w:r>
          </w:p>
        </w:tc>
      </w:tr>
      <w:tr w14:paraId="5558FCCA">
        <w:tc>
          <w:tcPr>
            <w:tcW w:w="2314" w:type="dxa"/>
            <w:tcBorders>
              <w:top w:val="nil"/>
              <w:left w:val="nil"/>
              <w:bottom w:val="nil"/>
              <w:right w:val="nil"/>
            </w:tcBorders>
            <w:vAlign w:val="center"/>
          </w:tcPr>
          <w:p w14:paraId="6BC46EA9">
            <w:pPr>
              <w:widowControl/>
              <w:jc w:val="left"/>
              <w:textAlignment w:val="center"/>
              <w:rPr>
                <w:rFonts w:ascii="Times New Roman Regular" w:hAnsi="Times New Roman Regular"/>
                <w:kern w:val="0"/>
              </w:rPr>
            </w:pPr>
            <w:r>
              <w:rPr>
                <w:rFonts w:ascii="Times New Roman Regular" w:hAnsi="Times New Roman Regular"/>
                <w:color w:val="000000"/>
                <w:kern w:val="0"/>
              </w:rPr>
              <w:t>Mucosal inflammation#</w:t>
            </w:r>
          </w:p>
        </w:tc>
        <w:tc>
          <w:tcPr>
            <w:tcW w:w="4034" w:type="dxa"/>
            <w:tcBorders>
              <w:top w:val="nil"/>
              <w:left w:val="nil"/>
              <w:bottom w:val="nil"/>
              <w:right w:val="nil"/>
            </w:tcBorders>
            <w:vAlign w:val="center"/>
          </w:tcPr>
          <w:p w14:paraId="69D62FBF">
            <w:pPr>
              <w:widowControl/>
              <w:jc w:val="left"/>
              <w:textAlignment w:val="center"/>
              <w:rPr>
                <w:rFonts w:ascii="Times New Roman Regular" w:hAnsi="Times New Roman Regular"/>
                <w:kern w:val="0"/>
              </w:rPr>
            </w:pPr>
            <w:r>
              <w:rPr>
                <w:rFonts w:ascii="Times New Roman Regular" w:hAnsi="Times New Roman Regular"/>
                <w:color w:val="000000"/>
                <w:kern w:val="0"/>
              </w:rPr>
              <w:t>General disorders and administration site conditions#</w:t>
            </w:r>
          </w:p>
        </w:tc>
        <w:tc>
          <w:tcPr>
            <w:tcW w:w="1166" w:type="dxa"/>
            <w:tcBorders>
              <w:top w:val="nil"/>
              <w:left w:val="nil"/>
              <w:bottom w:val="nil"/>
              <w:right w:val="nil"/>
            </w:tcBorders>
            <w:vAlign w:val="center"/>
          </w:tcPr>
          <w:p w14:paraId="58F290DF">
            <w:pPr>
              <w:widowControl/>
              <w:jc w:val="center"/>
              <w:textAlignment w:val="center"/>
              <w:rPr>
                <w:rFonts w:ascii="Times New Roman Regular" w:hAnsi="Times New Roman Regular"/>
                <w:kern w:val="0"/>
              </w:rPr>
            </w:pPr>
            <w:r>
              <w:rPr>
                <w:rFonts w:ascii="Times New Roman Regular" w:hAnsi="Times New Roman Regular"/>
                <w:color w:val="000000"/>
                <w:kern w:val="0"/>
              </w:rPr>
              <w:t>72</w:t>
            </w:r>
          </w:p>
        </w:tc>
        <w:tc>
          <w:tcPr>
            <w:tcW w:w="1913" w:type="dxa"/>
            <w:tcBorders>
              <w:top w:val="nil"/>
              <w:left w:val="nil"/>
              <w:bottom w:val="nil"/>
              <w:right w:val="nil"/>
            </w:tcBorders>
            <w:vAlign w:val="center"/>
          </w:tcPr>
          <w:p w14:paraId="6CAC96B9">
            <w:pPr>
              <w:widowControl/>
              <w:jc w:val="center"/>
              <w:textAlignment w:val="center"/>
              <w:rPr>
                <w:rFonts w:ascii="Times New Roman Regular" w:hAnsi="Times New Roman Regular"/>
                <w:kern w:val="0"/>
              </w:rPr>
            </w:pPr>
            <w:r>
              <w:rPr>
                <w:rFonts w:ascii="Times New Roman Regular" w:hAnsi="Times New Roman Regular"/>
                <w:color w:val="000000"/>
                <w:kern w:val="0"/>
              </w:rPr>
              <w:t>2.79 (2.21-3.52)</w:t>
            </w:r>
          </w:p>
        </w:tc>
        <w:tc>
          <w:tcPr>
            <w:tcW w:w="1982" w:type="dxa"/>
            <w:tcBorders>
              <w:top w:val="nil"/>
              <w:left w:val="nil"/>
              <w:bottom w:val="nil"/>
              <w:right w:val="nil"/>
            </w:tcBorders>
            <w:vAlign w:val="center"/>
          </w:tcPr>
          <w:p w14:paraId="341F1DA3">
            <w:pPr>
              <w:widowControl/>
              <w:jc w:val="center"/>
              <w:textAlignment w:val="center"/>
              <w:rPr>
                <w:rFonts w:ascii="Times New Roman Regular" w:hAnsi="Times New Roman Regular"/>
                <w:kern w:val="0"/>
              </w:rPr>
            </w:pPr>
            <w:r>
              <w:rPr>
                <w:rFonts w:ascii="Times New Roman Regular" w:hAnsi="Times New Roman Regular"/>
                <w:color w:val="000000"/>
                <w:kern w:val="0"/>
              </w:rPr>
              <w:t>2.79 (2.21-3.51)</w:t>
            </w:r>
          </w:p>
        </w:tc>
        <w:tc>
          <w:tcPr>
            <w:tcW w:w="1322" w:type="dxa"/>
            <w:tcBorders>
              <w:top w:val="nil"/>
              <w:left w:val="nil"/>
              <w:bottom w:val="nil"/>
              <w:right w:val="nil"/>
            </w:tcBorders>
            <w:vAlign w:val="center"/>
          </w:tcPr>
          <w:p w14:paraId="28C0B562">
            <w:pPr>
              <w:widowControl/>
              <w:jc w:val="center"/>
              <w:textAlignment w:val="center"/>
              <w:rPr>
                <w:rFonts w:ascii="Times New Roman Regular" w:hAnsi="Times New Roman Regular"/>
                <w:kern w:val="0"/>
              </w:rPr>
            </w:pPr>
            <w:r>
              <w:rPr>
                <w:rFonts w:ascii="Times New Roman Regular" w:hAnsi="Times New Roman Regular"/>
                <w:color w:val="000000"/>
                <w:kern w:val="0"/>
              </w:rPr>
              <w:t>1.47 (0.71)</w:t>
            </w:r>
          </w:p>
        </w:tc>
        <w:tc>
          <w:tcPr>
            <w:tcW w:w="1443" w:type="dxa"/>
            <w:tcBorders>
              <w:top w:val="nil"/>
              <w:left w:val="nil"/>
              <w:bottom w:val="nil"/>
              <w:right w:val="nil"/>
            </w:tcBorders>
            <w:vAlign w:val="center"/>
          </w:tcPr>
          <w:p w14:paraId="03FB28CD">
            <w:pPr>
              <w:widowControl/>
              <w:jc w:val="center"/>
              <w:textAlignment w:val="center"/>
              <w:rPr>
                <w:rFonts w:ascii="Times New Roman Regular" w:hAnsi="Times New Roman Regular"/>
                <w:kern w:val="0"/>
              </w:rPr>
            </w:pPr>
            <w:r>
              <w:rPr>
                <w:rFonts w:ascii="Times New Roman Regular" w:hAnsi="Times New Roman Regular"/>
                <w:color w:val="000000"/>
                <w:kern w:val="0"/>
              </w:rPr>
              <w:t>2.77 (2.2)</w:t>
            </w:r>
          </w:p>
        </w:tc>
      </w:tr>
      <w:tr w14:paraId="236A7499">
        <w:tc>
          <w:tcPr>
            <w:tcW w:w="2314" w:type="dxa"/>
            <w:tcBorders>
              <w:top w:val="nil"/>
              <w:left w:val="nil"/>
              <w:bottom w:val="nil"/>
              <w:right w:val="nil"/>
            </w:tcBorders>
            <w:vAlign w:val="center"/>
          </w:tcPr>
          <w:p w14:paraId="51E6B3B0">
            <w:pPr>
              <w:widowControl/>
              <w:jc w:val="left"/>
              <w:textAlignment w:val="center"/>
              <w:rPr>
                <w:rFonts w:ascii="Times New Roman Regular" w:hAnsi="Times New Roman Regular"/>
                <w:kern w:val="0"/>
              </w:rPr>
            </w:pPr>
            <w:r>
              <w:rPr>
                <w:rFonts w:ascii="Times New Roman Regular" w:hAnsi="Times New Roman Regular"/>
                <w:color w:val="000000"/>
                <w:kern w:val="0"/>
              </w:rPr>
              <w:t>Nail disorder</w:t>
            </w:r>
          </w:p>
        </w:tc>
        <w:tc>
          <w:tcPr>
            <w:tcW w:w="4034" w:type="dxa"/>
            <w:tcBorders>
              <w:top w:val="nil"/>
              <w:left w:val="nil"/>
              <w:bottom w:val="nil"/>
              <w:right w:val="nil"/>
            </w:tcBorders>
            <w:vAlign w:val="center"/>
          </w:tcPr>
          <w:p w14:paraId="1A884CC5">
            <w:pPr>
              <w:widowControl/>
              <w:jc w:val="left"/>
              <w:textAlignment w:val="center"/>
              <w:rPr>
                <w:rFonts w:ascii="Times New Roman Regular" w:hAnsi="Times New Roman Regular"/>
                <w:kern w:val="0"/>
              </w:rPr>
            </w:pPr>
            <w:r>
              <w:rPr>
                <w:rFonts w:ascii="Times New Roman Regular" w:hAnsi="Times New Roman Regular"/>
                <w:color w:val="000000"/>
                <w:kern w:val="0"/>
              </w:rPr>
              <w:t>Skin and subcutaneous tissue disorders</w:t>
            </w:r>
          </w:p>
        </w:tc>
        <w:tc>
          <w:tcPr>
            <w:tcW w:w="1166" w:type="dxa"/>
            <w:tcBorders>
              <w:top w:val="nil"/>
              <w:left w:val="nil"/>
              <w:bottom w:val="nil"/>
              <w:right w:val="nil"/>
            </w:tcBorders>
            <w:vAlign w:val="center"/>
          </w:tcPr>
          <w:p w14:paraId="79F5CF45">
            <w:pPr>
              <w:widowControl/>
              <w:jc w:val="center"/>
              <w:textAlignment w:val="center"/>
              <w:rPr>
                <w:rFonts w:ascii="Times New Roman Regular" w:hAnsi="Times New Roman Regular"/>
                <w:kern w:val="0"/>
              </w:rPr>
            </w:pPr>
            <w:r>
              <w:rPr>
                <w:rFonts w:ascii="Times New Roman Regular" w:hAnsi="Times New Roman Regular"/>
                <w:color w:val="000000"/>
                <w:kern w:val="0"/>
              </w:rPr>
              <w:t>70</w:t>
            </w:r>
          </w:p>
        </w:tc>
        <w:tc>
          <w:tcPr>
            <w:tcW w:w="1913" w:type="dxa"/>
            <w:tcBorders>
              <w:top w:val="nil"/>
              <w:left w:val="nil"/>
              <w:bottom w:val="nil"/>
              <w:right w:val="nil"/>
            </w:tcBorders>
            <w:vAlign w:val="center"/>
          </w:tcPr>
          <w:p w14:paraId="661D82A0">
            <w:pPr>
              <w:widowControl/>
              <w:jc w:val="center"/>
              <w:textAlignment w:val="center"/>
              <w:rPr>
                <w:rFonts w:ascii="Times New Roman Regular" w:hAnsi="Times New Roman Regular"/>
                <w:kern w:val="0"/>
              </w:rPr>
            </w:pPr>
            <w:r>
              <w:rPr>
                <w:rFonts w:ascii="Times New Roman Regular" w:hAnsi="Times New Roman Regular"/>
                <w:color w:val="000000"/>
                <w:kern w:val="0"/>
              </w:rPr>
              <w:t>9 (7.1-11.42)</w:t>
            </w:r>
          </w:p>
        </w:tc>
        <w:tc>
          <w:tcPr>
            <w:tcW w:w="1982" w:type="dxa"/>
            <w:tcBorders>
              <w:top w:val="nil"/>
              <w:left w:val="nil"/>
              <w:bottom w:val="nil"/>
              <w:right w:val="nil"/>
            </w:tcBorders>
            <w:vAlign w:val="center"/>
          </w:tcPr>
          <w:p w14:paraId="15291802">
            <w:pPr>
              <w:widowControl/>
              <w:jc w:val="center"/>
              <w:textAlignment w:val="center"/>
              <w:rPr>
                <w:rFonts w:ascii="Times New Roman Regular" w:hAnsi="Times New Roman Regular"/>
                <w:kern w:val="0"/>
              </w:rPr>
            </w:pPr>
            <w:r>
              <w:rPr>
                <w:rFonts w:ascii="Times New Roman Regular" w:hAnsi="Times New Roman Regular"/>
                <w:color w:val="000000"/>
                <w:kern w:val="0"/>
              </w:rPr>
              <w:t>8.98 (7.09-11.39)</w:t>
            </w:r>
          </w:p>
        </w:tc>
        <w:tc>
          <w:tcPr>
            <w:tcW w:w="1322" w:type="dxa"/>
            <w:tcBorders>
              <w:top w:val="nil"/>
              <w:left w:val="nil"/>
              <w:bottom w:val="nil"/>
              <w:right w:val="nil"/>
            </w:tcBorders>
            <w:vAlign w:val="center"/>
          </w:tcPr>
          <w:p w14:paraId="648ABD12">
            <w:pPr>
              <w:widowControl/>
              <w:jc w:val="center"/>
              <w:textAlignment w:val="center"/>
              <w:rPr>
                <w:rFonts w:ascii="Times New Roman Regular" w:hAnsi="Times New Roman Regular"/>
                <w:kern w:val="0"/>
              </w:rPr>
            </w:pPr>
            <w:r>
              <w:rPr>
                <w:rFonts w:ascii="Times New Roman Regular" w:hAnsi="Times New Roman Regular"/>
                <w:color w:val="000000"/>
                <w:kern w:val="0"/>
              </w:rPr>
              <w:t>3.13 (2.35)</w:t>
            </w:r>
          </w:p>
        </w:tc>
        <w:tc>
          <w:tcPr>
            <w:tcW w:w="1443" w:type="dxa"/>
            <w:tcBorders>
              <w:top w:val="nil"/>
              <w:left w:val="nil"/>
              <w:bottom w:val="nil"/>
              <w:right w:val="nil"/>
            </w:tcBorders>
            <w:vAlign w:val="center"/>
          </w:tcPr>
          <w:p w14:paraId="39844C28">
            <w:pPr>
              <w:widowControl/>
              <w:jc w:val="center"/>
              <w:textAlignment w:val="center"/>
              <w:rPr>
                <w:rFonts w:ascii="Times New Roman Regular" w:hAnsi="Times New Roman Regular"/>
                <w:kern w:val="0"/>
              </w:rPr>
            </w:pPr>
            <w:r>
              <w:rPr>
                <w:rFonts w:ascii="Times New Roman Regular" w:hAnsi="Times New Roman Regular"/>
                <w:color w:val="000000"/>
                <w:kern w:val="0"/>
              </w:rPr>
              <w:t>8.78 (6.92)</w:t>
            </w:r>
          </w:p>
        </w:tc>
      </w:tr>
      <w:tr w14:paraId="454BCD90">
        <w:tc>
          <w:tcPr>
            <w:tcW w:w="2314" w:type="dxa"/>
            <w:tcBorders>
              <w:top w:val="nil"/>
              <w:left w:val="nil"/>
              <w:bottom w:val="nil"/>
              <w:right w:val="nil"/>
            </w:tcBorders>
            <w:vAlign w:val="center"/>
          </w:tcPr>
          <w:p w14:paraId="4607D1CC">
            <w:pPr>
              <w:widowControl/>
              <w:jc w:val="left"/>
              <w:textAlignment w:val="center"/>
              <w:rPr>
                <w:rFonts w:ascii="Times New Roman Regular" w:hAnsi="Times New Roman Regular"/>
                <w:kern w:val="0"/>
              </w:rPr>
            </w:pPr>
            <w:r>
              <w:rPr>
                <w:rFonts w:ascii="Times New Roman Regular" w:hAnsi="Times New Roman Regular"/>
                <w:color w:val="000000"/>
                <w:kern w:val="0"/>
              </w:rPr>
              <w:t>Conjunctivitis#</w:t>
            </w:r>
          </w:p>
        </w:tc>
        <w:tc>
          <w:tcPr>
            <w:tcW w:w="4034" w:type="dxa"/>
            <w:tcBorders>
              <w:top w:val="nil"/>
              <w:left w:val="nil"/>
              <w:bottom w:val="nil"/>
              <w:right w:val="nil"/>
            </w:tcBorders>
            <w:vAlign w:val="center"/>
          </w:tcPr>
          <w:p w14:paraId="35084C23">
            <w:pPr>
              <w:widowControl/>
              <w:jc w:val="left"/>
              <w:textAlignment w:val="center"/>
              <w:rPr>
                <w:rFonts w:ascii="Times New Roman Regular" w:hAnsi="Times New Roman Regular"/>
                <w:kern w:val="0"/>
              </w:rPr>
            </w:pPr>
            <w:r>
              <w:rPr>
                <w:rFonts w:ascii="Times New Roman Regular" w:hAnsi="Times New Roman Regular"/>
                <w:color w:val="000000"/>
                <w:kern w:val="0"/>
              </w:rPr>
              <w:t>Eye disorders#</w:t>
            </w:r>
          </w:p>
        </w:tc>
        <w:tc>
          <w:tcPr>
            <w:tcW w:w="1166" w:type="dxa"/>
            <w:tcBorders>
              <w:top w:val="nil"/>
              <w:left w:val="nil"/>
              <w:bottom w:val="nil"/>
              <w:right w:val="nil"/>
            </w:tcBorders>
            <w:vAlign w:val="center"/>
          </w:tcPr>
          <w:p w14:paraId="1A5DAA11">
            <w:pPr>
              <w:widowControl/>
              <w:jc w:val="center"/>
              <w:textAlignment w:val="center"/>
              <w:rPr>
                <w:rFonts w:ascii="Times New Roman Regular" w:hAnsi="Times New Roman Regular"/>
                <w:kern w:val="0"/>
              </w:rPr>
            </w:pPr>
            <w:r>
              <w:rPr>
                <w:rFonts w:ascii="Times New Roman Regular" w:hAnsi="Times New Roman Regular"/>
                <w:color w:val="000000"/>
                <w:kern w:val="0"/>
              </w:rPr>
              <w:t>69</w:t>
            </w:r>
          </w:p>
        </w:tc>
        <w:tc>
          <w:tcPr>
            <w:tcW w:w="1913" w:type="dxa"/>
            <w:tcBorders>
              <w:top w:val="nil"/>
              <w:left w:val="nil"/>
              <w:bottom w:val="nil"/>
              <w:right w:val="nil"/>
            </w:tcBorders>
            <w:vAlign w:val="center"/>
          </w:tcPr>
          <w:p w14:paraId="16520F5E">
            <w:pPr>
              <w:widowControl/>
              <w:jc w:val="center"/>
              <w:textAlignment w:val="center"/>
              <w:rPr>
                <w:rFonts w:ascii="Times New Roman Regular" w:hAnsi="Times New Roman Regular"/>
                <w:kern w:val="0"/>
              </w:rPr>
            </w:pPr>
            <w:r>
              <w:rPr>
                <w:rFonts w:ascii="Times New Roman Regular" w:hAnsi="Times New Roman Regular"/>
                <w:color w:val="000000"/>
                <w:kern w:val="0"/>
              </w:rPr>
              <w:t>4.21 (3.32-5.34)</w:t>
            </w:r>
          </w:p>
        </w:tc>
        <w:tc>
          <w:tcPr>
            <w:tcW w:w="1982" w:type="dxa"/>
            <w:tcBorders>
              <w:top w:val="nil"/>
              <w:left w:val="nil"/>
              <w:bottom w:val="nil"/>
              <w:right w:val="nil"/>
            </w:tcBorders>
            <w:vAlign w:val="center"/>
          </w:tcPr>
          <w:p w14:paraId="65243DAC">
            <w:pPr>
              <w:widowControl/>
              <w:jc w:val="center"/>
              <w:textAlignment w:val="center"/>
              <w:rPr>
                <w:rFonts w:ascii="Times New Roman Regular" w:hAnsi="Times New Roman Regular"/>
                <w:kern w:val="0"/>
              </w:rPr>
            </w:pPr>
            <w:r>
              <w:rPr>
                <w:rFonts w:ascii="Times New Roman Regular" w:hAnsi="Times New Roman Regular"/>
                <w:color w:val="000000"/>
                <w:kern w:val="0"/>
              </w:rPr>
              <w:t>4.2 (3.32-5.33)</w:t>
            </w:r>
          </w:p>
        </w:tc>
        <w:tc>
          <w:tcPr>
            <w:tcW w:w="1322" w:type="dxa"/>
            <w:tcBorders>
              <w:top w:val="nil"/>
              <w:left w:val="nil"/>
              <w:bottom w:val="nil"/>
              <w:right w:val="nil"/>
            </w:tcBorders>
            <w:vAlign w:val="center"/>
          </w:tcPr>
          <w:p w14:paraId="3A5ED5FD">
            <w:pPr>
              <w:widowControl/>
              <w:jc w:val="center"/>
              <w:textAlignment w:val="center"/>
              <w:rPr>
                <w:rFonts w:ascii="Times New Roman Regular" w:hAnsi="Times New Roman Regular"/>
                <w:kern w:val="0"/>
              </w:rPr>
            </w:pPr>
            <w:r>
              <w:rPr>
                <w:rFonts w:ascii="Times New Roman Regular" w:hAnsi="Times New Roman Regular"/>
                <w:color w:val="000000"/>
                <w:kern w:val="0"/>
              </w:rPr>
              <w:t>2.06 (1.28)</w:t>
            </w:r>
          </w:p>
        </w:tc>
        <w:tc>
          <w:tcPr>
            <w:tcW w:w="1443" w:type="dxa"/>
            <w:tcBorders>
              <w:top w:val="nil"/>
              <w:left w:val="nil"/>
              <w:bottom w:val="nil"/>
              <w:right w:val="nil"/>
            </w:tcBorders>
            <w:vAlign w:val="center"/>
          </w:tcPr>
          <w:p w14:paraId="634410F7">
            <w:pPr>
              <w:widowControl/>
              <w:jc w:val="center"/>
              <w:textAlignment w:val="center"/>
              <w:rPr>
                <w:rFonts w:ascii="Times New Roman Regular" w:hAnsi="Times New Roman Regular"/>
                <w:kern w:val="0"/>
              </w:rPr>
            </w:pPr>
            <w:r>
              <w:rPr>
                <w:rFonts w:ascii="Times New Roman Regular" w:hAnsi="Times New Roman Regular"/>
                <w:color w:val="000000"/>
                <w:kern w:val="0"/>
              </w:rPr>
              <w:t>4.16 (3.28)</w:t>
            </w:r>
          </w:p>
        </w:tc>
      </w:tr>
      <w:tr w14:paraId="05CB68EC">
        <w:tc>
          <w:tcPr>
            <w:tcW w:w="2314" w:type="dxa"/>
            <w:tcBorders>
              <w:top w:val="nil"/>
              <w:left w:val="nil"/>
              <w:bottom w:val="single" w:color="000000" w:sz="8" w:space="0"/>
              <w:right w:val="nil"/>
            </w:tcBorders>
            <w:vAlign w:val="center"/>
          </w:tcPr>
          <w:p w14:paraId="0819F47E">
            <w:pPr>
              <w:widowControl/>
              <w:jc w:val="left"/>
              <w:textAlignment w:val="center"/>
              <w:rPr>
                <w:rFonts w:ascii="Times New Roman Regular" w:hAnsi="Times New Roman Regular"/>
                <w:kern w:val="0"/>
              </w:rPr>
            </w:pPr>
            <w:r>
              <w:rPr>
                <w:rFonts w:ascii="Times New Roman Regular" w:hAnsi="Times New Roman Regular"/>
                <w:color w:val="000000"/>
                <w:kern w:val="0"/>
              </w:rPr>
              <w:t>Metastases to lung#</w:t>
            </w:r>
          </w:p>
        </w:tc>
        <w:tc>
          <w:tcPr>
            <w:tcW w:w="4034" w:type="dxa"/>
            <w:tcBorders>
              <w:top w:val="nil"/>
              <w:left w:val="nil"/>
              <w:bottom w:val="single" w:color="000000" w:sz="8" w:space="0"/>
              <w:right w:val="nil"/>
            </w:tcBorders>
            <w:vAlign w:val="center"/>
          </w:tcPr>
          <w:p w14:paraId="66C53DD1">
            <w:pPr>
              <w:widowControl/>
              <w:jc w:val="left"/>
              <w:textAlignment w:val="center"/>
              <w:rPr>
                <w:rFonts w:ascii="Times New Roman Regular" w:hAnsi="Times New Roman Regular"/>
                <w:kern w:val="0"/>
              </w:rPr>
            </w:pPr>
            <w:r>
              <w:rPr>
                <w:rFonts w:ascii="Times New Roman Regular" w:hAnsi="Times New Roman Regular"/>
                <w:color w:val="000000"/>
                <w:kern w:val="0"/>
              </w:rPr>
              <w:t>Respiratory, thoracic and mediastinal disorders#</w:t>
            </w:r>
          </w:p>
        </w:tc>
        <w:tc>
          <w:tcPr>
            <w:tcW w:w="1166" w:type="dxa"/>
            <w:tcBorders>
              <w:top w:val="nil"/>
              <w:left w:val="nil"/>
              <w:bottom w:val="single" w:color="000000" w:sz="8" w:space="0"/>
              <w:right w:val="nil"/>
            </w:tcBorders>
            <w:vAlign w:val="center"/>
          </w:tcPr>
          <w:p w14:paraId="37E17609">
            <w:pPr>
              <w:widowControl/>
              <w:jc w:val="center"/>
              <w:textAlignment w:val="center"/>
              <w:rPr>
                <w:rFonts w:ascii="Times New Roman Regular" w:hAnsi="Times New Roman Regular"/>
                <w:kern w:val="0"/>
              </w:rPr>
            </w:pPr>
            <w:r>
              <w:rPr>
                <w:rFonts w:ascii="Times New Roman Regular" w:hAnsi="Times New Roman Regular"/>
                <w:color w:val="000000"/>
                <w:kern w:val="0"/>
              </w:rPr>
              <w:t>66</w:t>
            </w:r>
          </w:p>
        </w:tc>
        <w:tc>
          <w:tcPr>
            <w:tcW w:w="1913" w:type="dxa"/>
            <w:tcBorders>
              <w:top w:val="nil"/>
              <w:left w:val="nil"/>
              <w:bottom w:val="single" w:color="000000" w:sz="8" w:space="0"/>
              <w:right w:val="nil"/>
            </w:tcBorders>
            <w:vAlign w:val="center"/>
          </w:tcPr>
          <w:p w14:paraId="5F79FB74">
            <w:pPr>
              <w:widowControl/>
              <w:jc w:val="center"/>
              <w:textAlignment w:val="center"/>
              <w:rPr>
                <w:rFonts w:ascii="Times New Roman Regular" w:hAnsi="Times New Roman Regular"/>
                <w:kern w:val="0"/>
              </w:rPr>
            </w:pPr>
            <w:r>
              <w:rPr>
                <w:rFonts w:ascii="Times New Roman Regular" w:hAnsi="Times New Roman Regular"/>
                <w:color w:val="000000"/>
                <w:kern w:val="0"/>
              </w:rPr>
              <w:t>5.72 (4.48-7.3)</w:t>
            </w:r>
          </w:p>
        </w:tc>
        <w:tc>
          <w:tcPr>
            <w:tcW w:w="1982" w:type="dxa"/>
            <w:tcBorders>
              <w:top w:val="nil"/>
              <w:left w:val="nil"/>
              <w:bottom w:val="single" w:color="000000" w:sz="8" w:space="0"/>
              <w:right w:val="nil"/>
            </w:tcBorders>
            <w:vAlign w:val="center"/>
          </w:tcPr>
          <w:p w14:paraId="65B07638">
            <w:pPr>
              <w:widowControl/>
              <w:jc w:val="center"/>
              <w:textAlignment w:val="center"/>
              <w:rPr>
                <w:rFonts w:ascii="Times New Roman Regular" w:hAnsi="Times New Roman Regular"/>
                <w:kern w:val="0"/>
              </w:rPr>
            </w:pPr>
            <w:r>
              <w:rPr>
                <w:rFonts w:ascii="Times New Roman Regular" w:hAnsi="Times New Roman Regular"/>
                <w:color w:val="000000"/>
                <w:kern w:val="0"/>
              </w:rPr>
              <w:t>5.71 (4.48-7.28)</w:t>
            </w:r>
          </w:p>
        </w:tc>
        <w:tc>
          <w:tcPr>
            <w:tcW w:w="1322" w:type="dxa"/>
            <w:tcBorders>
              <w:top w:val="nil"/>
              <w:left w:val="nil"/>
              <w:bottom w:val="single" w:color="000000" w:sz="8" w:space="0"/>
              <w:right w:val="nil"/>
            </w:tcBorders>
            <w:vAlign w:val="center"/>
          </w:tcPr>
          <w:p w14:paraId="3DB41D75">
            <w:pPr>
              <w:widowControl/>
              <w:jc w:val="center"/>
              <w:textAlignment w:val="center"/>
              <w:rPr>
                <w:rFonts w:ascii="Times New Roman Regular" w:hAnsi="Times New Roman Regular"/>
                <w:kern w:val="0"/>
              </w:rPr>
            </w:pPr>
            <w:r>
              <w:rPr>
                <w:rFonts w:ascii="Times New Roman Regular" w:hAnsi="Times New Roman Regular"/>
                <w:color w:val="000000"/>
                <w:kern w:val="0"/>
              </w:rPr>
              <w:t>2.49 (1.7)</w:t>
            </w:r>
          </w:p>
        </w:tc>
        <w:tc>
          <w:tcPr>
            <w:tcW w:w="1443" w:type="dxa"/>
            <w:tcBorders>
              <w:top w:val="nil"/>
              <w:left w:val="nil"/>
              <w:bottom w:val="single" w:color="000000" w:sz="8" w:space="0"/>
              <w:right w:val="nil"/>
            </w:tcBorders>
            <w:vAlign w:val="center"/>
          </w:tcPr>
          <w:p w14:paraId="41DAE68C">
            <w:pPr>
              <w:widowControl/>
              <w:jc w:val="center"/>
              <w:textAlignment w:val="center"/>
              <w:rPr>
                <w:rFonts w:ascii="Times New Roman Regular" w:hAnsi="Times New Roman Regular"/>
                <w:kern w:val="0"/>
              </w:rPr>
            </w:pPr>
            <w:r>
              <w:rPr>
                <w:rFonts w:ascii="Times New Roman Regular" w:hAnsi="Times New Roman Regular"/>
                <w:color w:val="000000"/>
                <w:kern w:val="0"/>
              </w:rPr>
              <w:t>5.63 (4.41)</w:t>
            </w:r>
          </w:p>
        </w:tc>
      </w:tr>
    </w:tbl>
    <w:p w14:paraId="6DC48757">
      <w:pPr>
        <w:jc w:val="left"/>
        <w:rPr>
          <w:rFonts w:ascii="Times New Roman Bold" w:hAnsi="Times New Roman Bold" w:cs="Times New Roman Bold"/>
          <w:b/>
          <w:bCs/>
          <w:sz w:val="28"/>
          <w:szCs w:val="28"/>
        </w:rPr>
      </w:pPr>
    </w:p>
    <w:p w14:paraId="278901ED">
      <w:pPr>
        <w:rPr>
          <w:rFonts w:ascii="Times New Roman" w:hAnsi="Times New Roman"/>
          <w:sz w:val="28"/>
          <w:szCs w:val="28"/>
        </w:rPr>
        <w:sectPr>
          <w:pgSz w:w="16840" w:h="11900" w:orient="landscape"/>
          <w:pgMar w:top="1800" w:right="1440" w:bottom="1800" w:left="1440" w:header="851" w:footer="992" w:gutter="0"/>
          <w:cols w:space="425" w:num="1"/>
          <w:docGrid w:type="lines" w:linePitch="423" w:charSpace="0"/>
        </w:sectPr>
      </w:pPr>
    </w:p>
    <w:p w14:paraId="4E1BBB89">
      <w:pPr>
        <w:rPr>
          <w:rFonts w:ascii="Times New Roman" w:hAnsi="Times New Roman"/>
          <w:sz w:val="28"/>
          <w:szCs w:val="28"/>
        </w:rPr>
      </w:pPr>
      <w:r>
        <w:rPr>
          <w:rFonts w:ascii="Times New Roman" w:hAnsi="Times New Roman"/>
          <w:sz w:val="28"/>
          <w:szCs w:val="28"/>
        </w:rPr>
        <w:t>Reference</w:t>
      </w:r>
    </w:p>
    <w:p w14:paraId="4FE63BD6">
      <w:pPr>
        <w:pStyle w:val="11"/>
        <w:ind w:left="720" w:hanging="720"/>
      </w:pPr>
      <w:r>
        <w:fldChar w:fldCharType="begin"/>
      </w:r>
      <w:r>
        <w:instrText xml:space="preserve"> ADDIN EN.REFLIST </w:instrText>
      </w:r>
      <w:r>
        <w:fldChar w:fldCharType="separate"/>
      </w:r>
      <w:r>
        <w:t>1.</w:t>
      </w:r>
      <w:r>
        <w:tab/>
      </w:r>
      <w:r>
        <w:t xml:space="preserve">Sung, H., et al., </w:t>
      </w:r>
      <w:r>
        <w:rPr>
          <w:i/>
        </w:rPr>
        <w:t>Global Cancer Statistics 2020: GLOBOCAN Estimates of Incidence and Mortality Worldwide for 36 Cancers in 185 Countries.</w:t>
      </w:r>
      <w:r>
        <w:t xml:space="preserve"> CA Cancer J Clin, 2021. </w:t>
      </w:r>
      <w:r>
        <w:rPr>
          <w:b/>
        </w:rPr>
        <w:t>71</w:t>
      </w:r>
      <w:r>
        <w:t>(3): p. 209-249.</w:t>
      </w:r>
    </w:p>
    <w:p w14:paraId="24ECB29C">
      <w:pPr>
        <w:pStyle w:val="11"/>
        <w:ind w:left="720" w:hanging="720"/>
      </w:pPr>
      <w:r>
        <w:t>2.</w:t>
      </w:r>
      <w:r>
        <w:tab/>
      </w:r>
      <w:r>
        <w:t xml:space="preserve">Okusaka, T. and J. Furuse, </w:t>
      </w:r>
      <w:r>
        <w:rPr>
          <w:i/>
        </w:rPr>
        <w:t>Recent advances in chemotherapy for pancreatic cancer: evidence from Japan and recommendations in guidelines.</w:t>
      </w:r>
      <w:r>
        <w:t xml:space="preserve"> J Gastroenterol, 2020. </w:t>
      </w:r>
      <w:r>
        <w:rPr>
          <w:b/>
        </w:rPr>
        <w:t>55</w:t>
      </w:r>
      <w:r>
        <w:t>(4): p. 369-382.</w:t>
      </w:r>
    </w:p>
    <w:p w14:paraId="697C5658">
      <w:pPr>
        <w:pStyle w:val="11"/>
        <w:ind w:left="720" w:hanging="720"/>
      </w:pPr>
      <w:r>
        <w:t>3.</w:t>
      </w:r>
      <w:r>
        <w:tab/>
      </w:r>
      <w:r>
        <w:t xml:space="preserve">Li, D., et al., </w:t>
      </w:r>
      <w:r>
        <w:rPr>
          <w:i/>
        </w:rPr>
        <w:t>BIBW2992, an irreversible EGFR/HER2 inhibitor highly effective in preclinical lung cancer models.</w:t>
      </w:r>
      <w:r>
        <w:t xml:space="preserve"> Oncogene, 2008. </w:t>
      </w:r>
      <w:r>
        <w:rPr>
          <w:b/>
        </w:rPr>
        <w:t>27</w:t>
      </w:r>
      <w:r>
        <w:t>(34): p. 4702-11.</w:t>
      </w:r>
    </w:p>
    <w:p w14:paraId="1C75DAF2">
      <w:pPr>
        <w:pStyle w:val="11"/>
        <w:ind w:left="720" w:hanging="720"/>
      </w:pPr>
      <w:r>
        <w:t>4.</w:t>
      </w:r>
      <w:r>
        <w:tab/>
      </w:r>
      <w:r>
        <w:t xml:space="preserve">Yang, Z., et al., </w:t>
      </w:r>
      <w:r>
        <w:rPr>
          <w:i/>
        </w:rPr>
        <w:t>Comparison of gefitinib, erlotinib and afatinib in non-small cell lung cancer: A meta-analysis.</w:t>
      </w:r>
      <w:r>
        <w:t xml:space="preserve"> Int J Cancer, 2017. </w:t>
      </w:r>
      <w:r>
        <w:rPr>
          <w:b/>
        </w:rPr>
        <w:t>140</w:t>
      </w:r>
      <w:r>
        <w:t>(12): p. 2805-2819.</w:t>
      </w:r>
    </w:p>
    <w:p w14:paraId="7A4971D5">
      <w:pPr>
        <w:pStyle w:val="11"/>
        <w:ind w:left="720" w:hanging="720"/>
      </w:pPr>
      <w:r>
        <w:t>5.</w:t>
      </w:r>
      <w:r>
        <w:tab/>
      </w:r>
      <w:r>
        <w:t xml:space="preserve">Abdelgalil, A.A., H.M. Al-Kahtani, and F.I. Al-Jenoobi, </w:t>
      </w:r>
      <w:r>
        <w:rPr>
          <w:i/>
        </w:rPr>
        <w:t>Erlotinib.</w:t>
      </w:r>
      <w:r>
        <w:t xml:space="preserve"> Profiles Drug Subst Excip Relat Methodol, 2020. </w:t>
      </w:r>
      <w:r>
        <w:rPr>
          <w:b/>
        </w:rPr>
        <w:t>45</w:t>
      </w:r>
      <w:r>
        <w:t>: p. 93-117.</w:t>
      </w:r>
    </w:p>
    <w:p w14:paraId="15169485">
      <w:pPr>
        <w:pStyle w:val="11"/>
        <w:ind w:left="720" w:hanging="720"/>
      </w:pPr>
      <w:r>
        <w:t>6.</w:t>
      </w:r>
      <w:r>
        <w:tab/>
      </w:r>
      <w:r>
        <w:t xml:space="preserve">Cho, B.C., et al., </w:t>
      </w:r>
      <w:r>
        <w:rPr>
          <w:i/>
        </w:rPr>
        <w:t>Amivantamab, an Epidermal Growth Factor Receptor (EGFR) and Mesenchymal-epithelial Transition Factor (MET) Bispecific Antibody, Designed to Enable Multiple Mechanisms of Action and Broad Clinical Applications.</w:t>
      </w:r>
      <w:r>
        <w:t xml:space="preserve"> Clin Lung Cancer, 2022.</w:t>
      </w:r>
    </w:p>
    <w:p w14:paraId="778A64A5">
      <w:pPr>
        <w:pStyle w:val="11"/>
        <w:ind w:left="720" w:hanging="720"/>
      </w:pPr>
      <w:r>
        <w:t>7.</w:t>
      </w:r>
      <w:r>
        <w:tab/>
      </w:r>
      <w:r>
        <w:t xml:space="preserve">Shepherd, F.A., et al., </w:t>
      </w:r>
      <w:r>
        <w:rPr>
          <w:i/>
        </w:rPr>
        <w:t>Erlotinib in previously treated non-small-cell lung cancer.</w:t>
      </w:r>
      <w:r>
        <w:t xml:space="preserve"> N Engl J Med, 2005. </w:t>
      </w:r>
      <w:r>
        <w:rPr>
          <w:b/>
        </w:rPr>
        <w:t>353</w:t>
      </w:r>
      <w:r>
        <w:t>(2): p. 123-32.</w:t>
      </w:r>
    </w:p>
    <w:p w14:paraId="1D77D29E">
      <w:pPr>
        <w:pStyle w:val="11"/>
        <w:ind w:left="720" w:hanging="720"/>
      </w:pPr>
      <w:r>
        <w:t>8.</w:t>
      </w:r>
      <w:r>
        <w:tab/>
      </w:r>
      <w:r>
        <w:t xml:space="preserve">Yamamoto, N., et al., </w:t>
      </w:r>
      <w:r>
        <w:rPr>
          <w:i/>
        </w:rPr>
        <w:t>Erlotinib plus bevacizumab vs erlotinib monotherapy as first-line treatment for advanced EGFR mutation-positive non-squamous non-small-cell lung cancer: Survival follow-up results of the randomized JO25567 study.</w:t>
      </w:r>
      <w:r>
        <w:t xml:space="preserve"> Lung Cancer, 2021. </w:t>
      </w:r>
      <w:r>
        <w:rPr>
          <w:b/>
        </w:rPr>
        <w:t>151</w:t>
      </w:r>
      <w:r>
        <w:t>: p. 20-24.</w:t>
      </w:r>
    </w:p>
    <w:p w14:paraId="06E55A39">
      <w:pPr>
        <w:pStyle w:val="11"/>
        <w:ind w:left="720" w:hanging="720"/>
      </w:pPr>
      <w:r>
        <w:t>9.</w:t>
      </w:r>
      <w:r>
        <w:tab/>
      </w:r>
      <w:r>
        <w:t xml:space="preserve">Moore, M.J., et al., </w:t>
      </w:r>
      <w:r>
        <w:rPr>
          <w:i/>
        </w:rPr>
        <w:t>Erlotinib plus gemcitabine compared with gemcitabine alone in patients with advanced pancreatic cancer: a phase III trial of the National Cancer Institute of Canada Clinical Trials Group.</w:t>
      </w:r>
      <w:r>
        <w:t xml:space="preserve"> J Clin Oncol, 2007. </w:t>
      </w:r>
      <w:r>
        <w:rPr>
          <w:b/>
        </w:rPr>
        <w:t>25</w:t>
      </w:r>
      <w:r>
        <w:t>(15): p. 1960-6.</w:t>
      </w:r>
    </w:p>
    <w:p w14:paraId="51EA0915">
      <w:pPr>
        <w:pStyle w:val="11"/>
        <w:ind w:left="720" w:hanging="720"/>
      </w:pPr>
      <w:r>
        <w:t>10.</w:t>
      </w:r>
      <w:r>
        <w:tab/>
      </w:r>
      <w:r>
        <w:t xml:space="preserve">Pourmadadi, M., et al., </w:t>
      </w:r>
      <w:r>
        <w:rPr>
          <w:i/>
        </w:rPr>
        <w:t>Advances in erlotinib delivery systems: Addressing challenges and exploring opportunities in EGFR-targeted cancer therapies.</w:t>
      </w:r>
      <w:r>
        <w:t xml:space="preserve"> Inorganic Chemistry Communications, 2024. </w:t>
      </w:r>
      <w:r>
        <w:rPr>
          <w:b/>
        </w:rPr>
        <w:t>161</w:t>
      </w:r>
      <w:r>
        <w:t>: p. 112114.</w:t>
      </w:r>
    </w:p>
    <w:p w14:paraId="7A083F87">
      <w:pPr>
        <w:pStyle w:val="11"/>
        <w:ind w:left="720" w:hanging="720"/>
      </w:pPr>
      <w:r>
        <w:t>11.</w:t>
      </w:r>
      <w:r>
        <w:tab/>
      </w:r>
      <w:r>
        <w:t xml:space="preserve">Yan, X., et al., </w:t>
      </w:r>
      <w:r>
        <w:rPr>
          <w:i/>
        </w:rPr>
        <w:t>Severe megaloblastic anemia in a patient with advanced lung adenocarcinoma during treatment with erlotinib: a case report and literature review.</w:t>
      </w:r>
      <w:r>
        <w:t xml:space="preserve"> BMC Pulmonary Medicine, 2024. </w:t>
      </w:r>
      <w:r>
        <w:rPr>
          <w:b/>
        </w:rPr>
        <w:t>24</w:t>
      </w:r>
      <w:r>
        <w:t>(1): p. 121.</w:t>
      </w:r>
    </w:p>
    <w:p w14:paraId="78E96C78">
      <w:pPr>
        <w:pStyle w:val="11"/>
        <w:ind w:left="720" w:hanging="720"/>
      </w:pPr>
      <w:r>
        <w:rPr>
          <w:rFonts w:hint="eastAsia"/>
        </w:rPr>
        <w:t>12.</w:t>
      </w:r>
      <w:r>
        <w:rPr>
          <w:rFonts w:hint="eastAsia"/>
        </w:rPr>
        <w:tab/>
      </w:r>
      <w:r>
        <w:rPr>
          <w:rFonts w:hint="eastAsia"/>
        </w:rPr>
        <w:t xml:space="preserve">Luo, L., et al., </w:t>
      </w:r>
      <w:r>
        <w:rPr>
          <w:rFonts w:hint="eastAsia"/>
          <w:i/>
        </w:rPr>
        <w:t>Comprehensive safety assessment of ribociclib: A real‐world analysis using the FDA Adverse Event Reporting System (FAERS) database.</w:t>
      </w:r>
      <w:r>
        <w:rPr>
          <w:rFonts w:hint="eastAsia"/>
        </w:rPr>
        <w:t xml:space="preserve"> Bri</w:t>
      </w:r>
      <w:r>
        <w:t>tish Journal of Clinical Pharmacology, 2025.</w:t>
      </w:r>
    </w:p>
    <w:p w14:paraId="669F1FA1">
      <w:pPr>
        <w:pStyle w:val="11"/>
        <w:ind w:left="720" w:hanging="720"/>
      </w:pPr>
      <w:r>
        <w:t>13.</w:t>
      </w:r>
      <w:r>
        <w:tab/>
      </w:r>
      <w:r>
        <w:t xml:space="preserve">Ma, Y., et al., </w:t>
      </w:r>
      <w:r>
        <w:rPr>
          <w:i/>
        </w:rPr>
        <w:t>Drug safety concern of Avelumab: real world data analysis in FAERS database.</w:t>
      </w:r>
      <w:r>
        <w:t xml:space="preserve"> The American Journal of the Medical Sciences, 2026.</w:t>
      </w:r>
    </w:p>
    <w:p w14:paraId="5A5F343C">
      <w:pPr>
        <w:pStyle w:val="11"/>
        <w:ind w:left="720" w:hanging="720"/>
      </w:pPr>
      <w:r>
        <w:t>14.</w:t>
      </w:r>
      <w:r>
        <w:tab/>
      </w:r>
      <w:r>
        <w:t xml:space="preserve">Zhou, X., et al., </w:t>
      </w:r>
      <w:r>
        <w:rPr>
          <w:i/>
        </w:rPr>
        <w:t>Safety of SGLT2 Inhibitors: A Pharmacovigilance Study from 2013 to 2021 Based on FAERS.</w:t>
      </w:r>
      <w:r>
        <w:t xml:space="preserve"> Front Pharmacol, 2021. </w:t>
      </w:r>
      <w:r>
        <w:rPr>
          <w:b/>
        </w:rPr>
        <w:t>12</w:t>
      </w:r>
      <w:r>
        <w:t>: p. 766125.</w:t>
      </w:r>
    </w:p>
    <w:p w14:paraId="170C55E9">
      <w:pPr>
        <w:pStyle w:val="11"/>
        <w:ind w:left="720" w:hanging="720"/>
      </w:pPr>
      <w:r>
        <w:t>15.</w:t>
      </w:r>
      <w:r>
        <w:tab/>
      </w:r>
      <w:r>
        <w:t xml:space="preserve">Shu, Y., et al., </w:t>
      </w:r>
      <w:r>
        <w:rPr>
          <w:i/>
        </w:rPr>
        <w:t>A real-world pharmacovigilance study of axitinib: data mining of the public version of FDA adverse event reporting system.</w:t>
      </w:r>
      <w:r>
        <w:t xml:space="preserve"> Expert Opin Drug Saf, 2022. </w:t>
      </w:r>
      <w:r>
        <w:rPr>
          <w:b/>
        </w:rPr>
        <w:t>21</w:t>
      </w:r>
      <w:r>
        <w:t>(4): p. 563-572.</w:t>
      </w:r>
    </w:p>
    <w:p w14:paraId="2E131979">
      <w:pPr>
        <w:pStyle w:val="11"/>
        <w:ind w:left="720" w:hanging="720"/>
        <w:rPr>
          <w:i/>
        </w:rPr>
      </w:pPr>
      <w:r>
        <w:t>16.</w:t>
      </w:r>
      <w:r>
        <w:tab/>
      </w:r>
      <w:r>
        <w:t xml:space="preserve">Wikipedia contributors. </w:t>
      </w:r>
      <w:r>
        <w:rPr>
          <w:i/>
        </w:rPr>
        <w:t>Adverse event</w:t>
      </w:r>
    </w:p>
    <w:p w14:paraId="7C479219">
      <w:pPr>
        <w:pStyle w:val="11"/>
        <w:ind w:left="720" w:hanging="720"/>
      </w:pPr>
      <w:r>
        <w:t xml:space="preserve">. 2025; Available from: </w:t>
      </w:r>
      <w:r>
        <w:fldChar w:fldCharType="begin"/>
      </w:r>
      <w:r>
        <w:instrText xml:space="preserve"> HYPERLINK "https://en.wikipedia.org/wiki/Adverse_event" </w:instrText>
      </w:r>
      <w:r>
        <w:fldChar w:fldCharType="separate"/>
      </w:r>
      <w:r>
        <w:rPr>
          <w:rStyle w:val="7"/>
        </w:rPr>
        <w:t>https://en.wikipedia.org/wiki/Adverse_event</w:t>
      </w:r>
      <w:r>
        <w:rPr>
          <w:rStyle w:val="7"/>
        </w:rPr>
        <w:fldChar w:fldCharType="end"/>
      </w:r>
      <w:r>
        <w:t>.</w:t>
      </w:r>
    </w:p>
    <w:p w14:paraId="432A025F">
      <w:pPr>
        <w:pStyle w:val="11"/>
        <w:ind w:left="720" w:hanging="720"/>
      </w:pPr>
      <w:r>
        <w:t>17.</w:t>
      </w:r>
      <w:r>
        <w:tab/>
      </w:r>
      <w:r>
        <w:t xml:space="preserve">Liu, S., et al., </w:t>
      </w:r>
      <w:r>
        <w:rPr>
          <w:i/>
        </w:rPr>
        <w:t>RxNorm: Prescription for Electronic Drug Information Exchange. In IT Professional.</w:t>
      </w:r>
      <w:r>
        <w:t xml:space="preserve"> 2005.</w:t>
      </w:r>
    </w:p>
    <w:p w14:paraId="5259CE95">
      <w:pPr>
        <w:pStyle w:val="11"/>
        <w:ind w:left="720" w:hanging="720"/>
      </w:pPr>
      <w:r>
        <w:t>18.</w:t>
      </w:r>
      <w:r>
        <w:tab/>
      </w:r>
      <w:r>
        <w:t xml:space="preserve">Brown, E.G., </w:t>
      </w:r>
      <w:r>
        <w:rPr>
          <w:i/>
        </w:rPr>
        <w:t>Using MedDRA: implications for risk management.</w:t>
      </w:r>
      <w:r>
        <w:t xml:space="preserve"> Drug Safety An International Journal of Medical Toxicology &amp; Drug Experience, 2004. </w:t>
      </w:r>
      <w:r>
        <w:rPr>
          <w:b/>
        </w:rPr>
        <w:t>27</w:t>
      </w:r>
      <w:r>
        <w:t>(8): p. 591-602.</w:t>
      </w:r>
    </w:p>
    <w:p w14:paraId="0F678AC7">
      <w:pPr>
        <w:pStyle w:val="11"/>
        <w:ind w:left="720" w:hanging="720"/>
      </w:pPr>
      <w:r>
        <w:t>19.</w:t>
      </w:r>
      <w:r>
        <w:tab/>
      </w:r>
      <w:r>
        <w:t xml:space="preserve">Rothman, K.J., S. Lanes, and S.T. Sacks, </w:t>
      </w:r>
      <w:r>
        <w:rPr>
          <w:i/>
        </w:rPr>
        <w:t>The reporting odds ratio and its advantages over the proportional reporting ratio.</w:t>
      </w:r>
      <w:r>
        <w:t xml:space="preserve"> Pharmacoepidemiol Drug Saf, 2004. </w:t>
      </w:r>
      <w:r>
        <w:rPr>
          <w:b/>
        </w:rPr>
        <w:t>13</w:t>
      </w:r>
      <w:r>
        <w:t>(8): p. 519-23.</w:t>
      </w:r>
    </w:p>
    <w:p w14:paraId="36461372">
      <w:pPr>
        <w:pStyle w:val="11"/>
        <w:ind w:left="720" w:hanging="720"/>
      </w:pPr>
      <w:r>
        <w:t>20.</w:t>
      </w:r>
      <w:r>
        <w:tab/>
      </w:r>
      <w:r>
        <w:t xml:space="preserve">Evans, S.J., P.C. Waller, and S. Davis, </w:t>
      </w:r>
      <w:r>
        <w:rPr>
          <w:i/>
        </w:rPr>
        <w:t>Use of proportional reporting ratios (PRRs) for signal generation from spontaneous adverse drug reaction reports.</w:t>
      </w:r>
      <w:r>
        <w:t xml:space="preserve"> Pharmacoepidemiol Drug Saf, 2001. </w:t>
      </w:r>
      <w:r>
        <w:rPr>
          <w:b/>
        </w:rPr>
        <w:t>10</w:t>
      </w:r>
      <w:r>
        <w:t>(6): p. 483-6.</w:t>
      </w:r>
    </w:p>
    <w:p w14:paraId="6C3D1021">
      <w:pPr>
        <w:pStyle w:val="11"/>
        <w:ind w:left="720" w:hanging="720"/>
      </w:pPr>
      <w:r>
        <w:t>21.</w:t>
      </w:r>
      <w:r>
        <w:tab/>
      </w:r>
      <w:r>
        <w:t xml:space="preserve">Bate, A., et al., </w:t>
      </w:r>
      <w:r>
        <w:rPr>
          <w:i/>
        </w:rPr>
        <w:t>A Bayesian neural network method for adverse drug reaction signal generation.</w:t>
      </w:r>
      <w:r>
        <w:t xml:space="preserve"> Eur J Clin Pharmacol, 1998. </w:t>
      </w:r>
      <w:r>
        <w:rPr>
          <w:b/>
        </w:rPr>
        <w:t>54</w:t>
      </w:r>
      <w:r>
        <w:t>(4): p. 315-21.</w:t>
      </w:r>
    </w:p>
    <w:p w14:paraId="7CABBE97">
      <w:pPr>
        <w:pStyle w:val="11"/>
        <w:ind w:left="720" w:hanging="720"/>
      </w:pPr>
      <w:r>
        <w:t>22.</w:t>
      </w:r>
      <w:r>
        <w:tab/>
      </w:r>
      <w:r>
        <w:t xml:space="preserve">William and Dumouchel, </w:t>
      </w:r>
      <w:r>
        <w:rPr>
          <w:i/>
        </w:rPr>
        <w:t>Bayesian Data Mining in Large Frequency Tables, with an Application to the FDA Spontaneous Reporting System.</w:t>
      </w:r>
      <w:r>
        <w:t xml:space="preserve"> American Statistician, 1999.</w:t>
      </w:r>
    </w:p>
    <w:p w14:paraId="4D6DDABE">
      <w:pPr>
        <w:pStyle w:val="11"/>
        <w:ind w:left="720" w:hanging="720"/>
      </w:pPr>
      <w:r>
        <w:t>23.</w:t>
      </w:r>
      <w:r>
        <w:tab/>
      </w:r>
      <w:r>
        <w:t xml:space="preserve">Saif, M.W., et al., </w:t>
      </w:r>
      <w:r>
        <w:rPr>
          <w:i/>
        </w:rPr>
        <w:t>Management of skin toxicities of anti-EGFR agents in patients with pancreatic cancer and other GI tumors by using electronic communication: effective and convenient.</w:t>
      </w:r>
      <w:r>
        <w:t xml:space="preserve"> JOP, 2010. </w:t>
      </w:r>
      <w:r>
        <w:rPr>
          <w:b/>
        </w:rPr>
        <w:t>11</w:t>
      </w:r>
      <w:r>
        <w:t>(2): p. 176-82.</w:t>
      </w:r>
    </w:p>
    <w:p w14:paraId="274C9B6C">
      <w:pPr>
        <w:pStyle w:val="11"/>
        <w:ind w:left="720" w:hanging="720"/>
      </w:pPr>
      <w:r>
        <w:t>24.</w:t>
      </w:r>
      <w:r>
        <w:tab/>
      </w:r>
      <w:r>
        <w:t xml:space="preserve">Suzumura, T., et al., </w:t>
      </w:r>
      <w:r>
        <w:rPr>
          <w:i/>
        </w:rPr>
        <w:t>Reduced CYP2D6 function is associated with gefitinib-induced rash in patients with non-small cell lung cancer.</w:t>
      </w:r>
      <w:r>
        <w:t xml:space="preserve"> BMC Cancer, 2012. </w:t>
      </w:r>
      <w:r>
        <w:rPr>
          <w:b/>
        </w:rPr>
        <w:t>12</w:t>
      </w:r>
      <w:r>
        <w:t>: p. 568.</w:t>
      </w:r>
    </w:p>
    <w:p w14:paraId="2BCA387B">
      <w:pPr>
        <w:pStyle w:val="11"/>
        <w:ind w:left="720" w:hanging="720"/>
      </w:pPr>
      <w:r>
        <w:t>25.</w:t>
      </w:r>
      <w:r>
        <w:tab/>
      </w:r>
      <w:r>
        <w:t xml:space="preserve">Yamamoto, N., M. Honma, and H. Suzuki, </w:t>
      </w:r>
      <w:r>
        <w:rPr>
          <w:i/>
        </w:rPr>
        <w:t>Off-target serine/threonine kinase 10 inhibition by erlotinib enhances lymphocytic activity leading to severe skin disorders.</w:t>
      </w:r>
      <w:r>
        <w:t xml:space="preserve"> Mol Pharmacol, 2011. </w:t>
      </w:r>
      <w:r>
        <w:rPr>
          <w:b/>
        </w:rPr>
        <w:t>80</w:t>
      </w:r>
      <w:r>
        <w:t>(3): p. 466-75.</w:t>
      </w:r>
    </w:p>
    <w:p w14:paraId="2E76DB76">
      <w:pPr>
        <w:pStyle w:val="11"/>
        <w:ind w:left="720" w:hanging="720"/>
      </w:pPr>
      <w:r>
        <w:t>26.</w:t>
      </w:r>
      <w:r>
        <w:tab/>
      </w:r>
      <w:r>
        <w:t xml:space="preserve">Zhao, B., et al., </w:t>
      </w:r>
      <w:r>
        <w:rPr>
          <w:i/>
        </w:rPr>
        <w:t>Erlotinib in combination with bevacizumab has potential benefit in non-small cell lung cancer: A systematic review and meta-analysis of randomized clinical trials.</w:t>
      </w:r>
      <w:r>
        <w:t xml:space="preserve"> Lung Cancer, 2018. </w:t>
      </w:r>
      <w:r>
        <w:rPr>
          <w:b/>
        </w:rPr>
        <w:t>122</w:t>
      </w:r>
      <w:r>
        <w:t>: p. 10-21.</w:t>
      </w:r>
    </w:p>
    <w:p w14:paraId="122182E4">
      <w:pPr>
        <w:pStyle w:val="11"/>
        <w:ind w:left="720" w:hanging="720"/>
      </w:pPr>
      <w:r>
        <w:t>27.</w:t>
      </w:r>
      <w:r>
        <w:tab/>
      </w:r>
      <w:r>
        <w:t xml:space="preserve">Fukudo, M., et al., </w:t>
      </w:r>
      <w:r>
        <w:rPr>
          <w:i/>
        </w:rPr>
        <w:t>Population pharmacokinetics/pharmacodynamics of erlotinib and pharmacogenomic analysis of plasma and cerebrospinal fluid drug concentrations in Japanese patients with non-small cell lung cancer.</w:t>
      </w:r>
      <w:r>
        <w:t xml:space="preserve"> Clin Pharmacokinet, 2013. </w:t>
      </w:r>
      <w:r>
        <w:rPr>
          <w:b/>
        </w:rPr>
        <w:t>52</w:t>
      </w:r>
      <w:r>
        <w:t>(7): p. 593-609.</w:t>
      </w:r>
    </w:p>
    <w:p w14:paraId="2EE3429A">
      <w:pPr>
        <w:pStyle w:val="11"/>
        <w:ind w:left="720" w:hanging="720"/>
      </w:pPr>
      <w:r>
        <w:t>28.</w:t>
      </w:r>
      <w:r>
        <w:tab/>
      </w:r>
      <w:r>
        <w:t xml:space="preserve">Zheng, L., et al., </w:t>
      </w:r>
      <w:r>
        <w:rPr>
          <w:i/>
        </w:rPr>
        <w:t>Concurrent EGFR-TKI and Thoracic Radiotherapy as First-Line Treatment for Stage IV Non-Small Cell Lung Cancer Harboring EGFR Active Mutations.</w:t>
      </w:r>
      <w:r>
        <w:t xml:space="preserve"> Oncologist, 2019. </w:t>
      </w:r>
      <w:r>
        <w:rPr>
          <w:b/>
        </w:rPr>
        <w:t>24</w:t>
      </w:r>
      <w:r>
        <w:t>(8): p. 1031-e612.</w:t>
      </w:r>
    </w:p>
    <w:p w14:paraId="4A8A060D">
      <w:pPr>
        <w:pStyle w:val="11"/>
        <w:ind w:left="720" w:hanging="720"/>
      </w:pPr>
      <w:r>
        <w:t>29.</w:t>
      </w:r>
      <w:r>
        <w:tab/>
      </w:r>
      <w:r>
        <w:t xml:space="preserve">Suleiman, A.A., et al., </w:t>
      </w:r>
      <w:r>
        <w:rPr>
          <w:i/>
        </w:rPr>
        <w:t>A Modeling and Simulation Framework for Adverse Events in Erlotinib-Treated Non-Small-Cell Lung Cancer Patients.</w:t>
      </w:r>
      <w:r>
        <w:t xml:space="preserve"> AAPS J, 2015. </w:t>
      </w:r>
      <w:r>
        <w:rPr>
          <w:b/>
        </w:rPr>
        <w:t>17</w:t>
      </w:r>
      <w:r>
        <w:t>(6): p. 1483-91.</w:t>
      </w:r>
    </w:p>
    <w:p w14:paraId="09A28BF6">
      <w:pPr>
        <w:pStyle w:val="11"/>
        <w:ind w:left="720" w:hanging="720"/>
      </w:pPr>
      <w:r>
        <w:t>30.</w:t>
      </w:r>
      <w:r>
        <w:tab/>
      </w:r>
      <w:r>
        <w:t xml:space="preserve">Zugazagoitia, J., et al., </w:t>
      </w:r>
      <w:r>
        <w:rPr>
          <w:i/>
        </w:rPr>
        <w:t>Second-line Treatment of Non-Small Cell Lung Cancer: Focus on the Clinical Development of Dacomitinib.</w:t>
      </w:r>
      <w:r>
        <w:t xml:space="preserve"> Front Med (Lausanne), 2017. </w:t>
      </w:r>
      <w:r>
        <w:rPr>
          <w:b/>
        </w:rPr>
        <w:t>4</w:t>
      </w:r>
      <w:r>
        <w:t>: p. 36.</w:t>
      </w:r>
    </w:p>
    <w:p w14:paraId="60550B93">
      <w:pPr>
        <w:pStyle w:val="11"/>
        <w:ind w:left="720" w:hanging="720"/>
      </w:pPr>
      <w:r>
        <w:t>31.</w:t>
      </w:r>
      <w:r>
        <w:tab/>
      </w:r>
      <w:r>
        <w:t xml:space="preserve">Tomuleasa, C., et al., </w:t>
      </w:r>
      <w:r>
        <w:rPr>
          <w:i/>
        </w:rPr>
        <w:t>Therapeutic advances of targeting receptor tyrosine kinases in cancer.</w:t>
      </w:r>
      <w:r>
        <w:t xml:space="preserve"> Signal transduction and targeted therapy, 2024. </w:t>
      </w:r>
      <w:r>
        <w:rPr>
          <w:b/>
        </w:rPr>
        <w:t>9</w:t>
      </w:r>
      <w:r>
        <w:t>(1): p. 201.</w:t>
      </w:r>
    </w:p>
    <w:p w14:paraId="2BD6FD12">
      <w:pPr>
        <w:pStyle w:val="11"/>
        <w:ind w:left="720" w:hanging="720"/>
      </w:pPr>
      <w:r>
        <w:t>32.</w:t>
      </w:r>
      <w:r>
        <w:tab/>
      </w:r>
      <w:r>
        <w:t xml:space="preserve">Al-Karmalawy, A.A., et al., </w:t>
      </w:r>
      <w:r>
        <w:rPr>
          <w:i/>
        </w:rPr>
        <w:t>Medicinal chemistry perspectives on anticancer drug design based on clinical applications (2015–2025).</w:t>
      </w:r>
      <w:r>
        <w:t xml:space="preserve"> RSC advances, 2025. </w:t>
      </w:r>
      <w:r>
        <w:rPr>
          <w:b/>
        </w:rPr>
        <w:t>15</w:t>
      </w:r>
      <w:r>
        <w:t>(43): p. 36441-36471.</w:t>
      </w:r>
    </w:p>
    <w:p w14:paraId="350E158C">
      <w:pPr>
        <w:pStyle w:val="11"/>
        <w:ind w:left="720" w:hanging="720"/>
      </w:pPr>
      <w:r>
        <w:t>33.</w:t>
      </w:r>
      <w:r>
        <w:tab/>
      </w:r>
      <w:r>
        <w:t xml:space="preserve">Obradovic, J., J. Todosijevic, and V. Jurisic, </w:t>
      </w:r>
      <w:r>
        <w:rPr>
          <w:i/>
        </w:rPr>
        <w:t>Side effects of tyrosine kinase inhibitors therapy in patients with non-small cell lung cancer and associations with EGFR polymorphisms: A systematic review and meta-analysis.</w:t>
      </w:r>
      <w:r>
        <w:t xml:space="preserve"> Oncology Letters, 2022. </w:t>
      </w:r>
      <w:r>
        <w:rPr>
          <w:b/>
        </w:rPr>
        <w:t>25</w:t>
      </w:r>
      <w:r>
        <w:t>(2): p. 62.</w:t>
      </w:r>
    </w:p>
    <w:p w14:paraId="479A0387">
      <w:r>
        <w:fldChar w:fldCharType="end"/>
      </w:r>
    </w:p>
    <w:sectPr>
      <w:pgSz w:w="11900" w:h="16840"/>
      <w:pgMar w:top="1440" w:right="1800" w:bottom="1440" w:left="1800" w:header="851" w:footer="992" w:gutter="0"/>
      <w:cols w:space="425" w:num="1"/>
      <w:docGrid w:type="lines" w:linePitch="423"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DengXian">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00"/>
    <w:family w:val="auto"/>
    <w:pitch w:val="default"/>
    <w:sig w:usb0="00000000" w:usb1="00000000" w:usb2="00000000" w:usb3="00000000" w:csb0="00000000" w:csb1="00000000"/>
  </w:font>
  <w:font w:name="DengXian">
    <w:altName w:val="汉仪中等线KW"/>
    <w:panose1 w:val="00000000000000000000"/>
    <w:charset w:val="86"/>
    <w:family w:val="auto"/>
    <w:pitch w:val="default"/>
    <w:sig w:usb0="00000000" w:usb1="00000000" w:usb2="00000000" w:usb3="00000000" w:csb0="00000000" w:csb1="00000000"/>
  </w:font>
  <w:font w:name="DengXian">
    <w:altName w:val="汉仪中等线KW"/>
    <w:panose1 w:val="00000000000000000000"/>
    <w:charset w:val="00"/>
    <w:family w:val="auto"/>
    <w:pitch w:val="default"/>
    <w:sig w:usb0="00000000" w:usb1="00000000" w:usb2="00000000" w:usb3="00000000" w:csb0="00000000" w:csb1="00000000"/>
  </w:font>
  <w:font w:name="Times New Roman Regular">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 w:name="Times New Roman Italic">
    <w:panose1 w:val="02020503050405090304"/>
    <w:charset w:val="00"/>
    <w:family w:val="auto"/>
    <w:pitch w:val="default"/>
    <w:sig w:usb0="E0000AFF" w:usb1="00007843" w:usb2="00000001" w:usb3="00000000" w:csb0="400001BF" w:csb1="DFF70000"/>
  </w:font>
  <w:font w:name="Cambria Math">
    <w:altName w:val="Kingsoft Math"/>
    <w:panose1 w:val="02040503050406030204"/>
    <w:charset w:val="00"/>
    <w:family w:val="roman"/>
    <w:pitch w:val="default"/>
    <w:sig w:usb0="00000000" w:usb1="00000000" w:usb2="00000000" w:usb3="00000000" w:csb0="0000019F" w:csb1="00000000"/>
  </w:font>
  <w:font w:name="微软雅黑">
    <w:altName w:val="汉仪旗黑"/>
    <w:panose1 w:val="020B0503020204020204"/>
    <w:charset w:val="86"/>
    <w:family w:val="swiss"/>
    <w:pitch w:val="default"/>
    <w:sig w:usb0="00000000" w:usb1="00000000" w:usb2="00000016" w:usb3="00000000" w:csb0="0004001F" w:csb1="00000000"/>
  </w:font>
  <w:font w:name="微软雅黑">
    <w:altName w:val="汉仪旗黑"/>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Kingsoft Math">
    <w:panose1 w:val="02040503050406030204"/>
    <w:charset w:val="00"/>
    <w:family w:val="auto"/>
    <w:pitch w:val="default"/>
    <w:sig w:usb0="80000087" w:usb1="00002068" w:usb2="00000000" w:usb3="00000000" w:csb0="2000019F" w:csb1="00000000"/>
  </w:font>
  <w:font w:name="DejaVu Math TeX Gyre">
    <w:panose1 w:val="02000503000000000000"/>
    <w:charset w:val="00"/>
    <w:family w:val="auto"/>
    <w:pitch w:val="default"/>
    <w:sig w:usb0="A10000EF" w:usb1="4201F9EE" w:usb2="02000000" w:usb3="00000000" w:csb0="60000193" w:csb1="0DD40000"/>
  </w:font>
  <w:font w:name="Apple Symbols">
    <w:panose1 w:val="02000000000000000000"/>
    <w:charset w:val="00"/>
    <w:family w:val="auto"/>
    <w:pitch w:val="default"/>
    <w:sig w:usb0="800000A3" w:usb1="08007BEB" w:usb2="01840034" w:usb3="0000A268" w:csb0="200001FB" w:csb1="DDFF0000"/>
  </w:font>
  <w:font w:name="汉仪旗黑">
    <w:panose1 w:val="00020600040101010101"/>
    <w:charset w:val="86"/>
    <w:family w:val="auto"/>
    <w:pitch w:val="default"/>
    <w:sig w:usb0="A00002BF" w:usb1="1ACF7CFA" w:usb2="00000016" w:usb3="00000000" w:csb0="0004009F" w:csb1="DFD7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冬青黑体简体中文">
    <w:panose1 w:val="020B0300000000000000"/>
    <w:charset w:val="86"/>
    <w:family w:val="auto"/>
    <w:pitch w:val="default"/>
    <w:sig w:usb0="A00002BF" w:usb1="1ACF7CFA" w:usb2="00000016" w:usb3="00000000" w:csb0="00060007" w:csb1="00000000"/>
  </w:font>
  <w:font w:name="Arial Narrow">
    <w:panose1 w:val="020B0606020202030204"/>
    <w:charset w:val="00"/>
    <w:family w:val="auto"/>
    <w:pitch w:val="default"/>
    <w:sig w:usb0="00000287" w:usb1="00000800" w:usb2="00000000" w:usb3="00000000" w:csb0="2000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6"/>
  <w:bordersDoNotSurroundHeader w:val="0"/>
  <w:bordersDoNotSurroundFooter w:val="0"/>
  <w:documentProtection w:enforcement="0"/>
  <w:defaultTabStop w:val="420"/>
  <w:drawingGridVerticalSpacing w:val="200"/>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Layout" w:val="&lt;ENLayout&gt;&lt;Style&gt;Numbered&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55vxarxlxsxwnep9taxses8ee0rexsrttsx&quot;&gt;11&lt;record-ids&gt;&lt;item&gt;1&lt;/item&gt;&lt;item&gt;2&lt;/item&gt;&lt;item&gt;3&lt;/item&gt;&lt;item&gt;4&lt;/item&gt;&lt;item&gt;5&lt;/item&gt;&lt;item&gt;7&lt;/item&gt;&lt;item&gt;8&lt;/item&gt;&lt;item&gt;9&lt;/item&gt;&lt;/record-ids&gt;&lt;/item&gt;&lt;/Libraries&gt;"/>
  </w:docVars>
  <w:rsids>
    <w:rsidRoot w:val="00F71DB3"/>
    <w:rsid w:val="00011F23"/>
    <w:rsid w:val="00012AB2"/>
    <w:rsid w:val="0001363E"/>
    <w:rsid w:val="000149E9"/>
    <w:rsid w:val="00014E88"/>
    <w:rsid w:val="000158FF"/>
    <w:rsid w:val="00016CA0"/>
    <w:rsid w:val="00016E0D"/>
    <w:rsid w:val="00016F55"/>
    <w:rsid w:val="00022789"/>
    <w:rsid w:val="000248FF"/>
    <w:rsid w:val="00026EA2"/>
    <w:rsid w:val="0002726B"/>
    <w:rsid w:val="00027544"/>
    <w:rsid w:val="00030B1C"/>
    <w:rsid w:val="000323E4"/>
    <w:rsid w:val="00036A4A"/>
    <w:rsid w:val="0005130E"/>
    <w:rsid w:val="00051559"/>
    <w:rsid w:val="000613D4"/>
    <w:rsid w:val="00066000"/>
    <w:rsid w:val="00070024"/>
    <w:rsid w:val="0007066A"/>
    <w:rsid w:val="0007387D"/>
    <w:rsid w:val="00080076"/>
    <w:rsid w:val="00081C9B"/>
    <w:rsid w:val="00081FC5"/>
    <w:rsid w:val="000821AE"/>
    <w:rsid w:val="00087488"/>
    <w:rsid w:val="000943B9"/>
    <w:rsid w:val="00095CD5"/>
    <w:rsid w:val="000A076D"/>
    <w:rsid w:val="000A39EA"/>
    <w:rsid w:val="000A73CA"/>
    <w:rsid w:val="000A7837"/>
    <w:rsid w:val="000B0CF5"/>
    <w:rsid w:val="000B1CC6"/>
    <w:rsid w:val="000B4F18"/>
    <w:rsid w:val="000B74F5"/>
    <w:rsid w:val="000C0606"/>
    <w:rsid w:val="000C25B1"/>
    <w:rsid w:val="000C372F"/>
    <w:rsid w:val="000C70E2"/>
    <w:rsid w:val="000D1A22"/>
    <w:rsid w:val="000D2392"/>
    <w:rsid w:val="000D2736"/>
    <w:rsid w:val="000D517C"/>
    <w:rsid w:val="000E0C85"/>
    <w:rsid w:val="000F4729"/>
    <w:rsid w:val="000F6FE4"/>
    <w:rsid w:val="00102C59"/>
    <w:rsid w:val="00106979"/>
    <w:rsid w:val="00107986"/>
    <w:rsid w:val="00110B9E"/>
    <w:rsid w:val="00126558"/>
    <w:rsid w:val="0013081E"/>
    <w:rsid w:val="001328AA"/>
    <w:rsid w:val="00132F09"/>
    <w:rsid w:val="0013387B"/>
    <w:rsid w:val="00134F74"/>
    <w:rsid w:val="00136946"/>
    <w:rsid w:val="001372BE"/>
    <w:rsid w:val="00146A76"/>
    <w:rsid w:val="00146C46"/>
    <w:rsid w:val="00150BBA"/>
    <w:rsid w:val="00151CC3"/>
    <w:rsid w:val="00152109"/>
    <w:rsid w:val="00153194"/>
    <w:rsid w:val="00155CE5"/>
    <w:rsid w:val="00160955"/>
    <w:rsid w:val="00162B4A"/>
    <w:rsid w:val="001665F9"/>
    <w:rsid w:val="00166C88"/>
    <w:rsid w:val="001673C2"/>
    <w:rsid w:val="00176A04"/>
    <w:rsid w:val="00182DC5"/>
    <w:rsid w:val="001859C7"/>
    <w:rsid w:val="001938BF"/>
    <w:rsid w:val="00195D7D"/>
    <w:rsid w:val="001A2834"/>
    <w:rsid w:val="001A5FD1"/>
    <w:rsid w:val="001B54CF"/>
    <w:rsid w:val="001C3E71"/>
    <w:rsid w:val="001C4E03"/>
    <w:rsid w:val="001C7C8F"/>
    <w:rsid w:val="001D03C9"/>
    <w:rsid w:val="001D0AE5"/>
    <w:rsid w:val="001D1F7E"/>
    <w:rsid w:val="001D34F4"/>
    <w:rsid w:val="001D38C9"/>
    <w:rsid w:val="001D5546"/>
    <w:rsid w:val="001D6F74"/>
    <w:rsid w:val="001E2D75"/>
    <w:rsid w:val="001F0D69"/>
    <w:rsid w:val="001F3E0F"/>
    <w:rsid w:val="001F3F4B"/>
    <w:rsid w:val="001F78E0"/>
    <w:rsid w:val="001F7D76"/>
    <w:rsid w:val="00202D99"/>
    <w:rsid w:val="0020345A"/>
    <w:rsid w:val="00204091"/>
    <w:rsid w:val="002101CF"/>
    <w:rsid w:val="00214EA5"/>
    <w:rsid w:val="00215129"/>
    <w:rsid w:val="00226007"/>
    <w:rsid w:val="0022616C"/>
    <w:rsid w:val="00233B44"/>
    <w:rsid w:val="002365A0"/>
    <w:rsid w:val="0024085F"/>
    <w:rsid w:val="002463C7"/>
    <w:rsid w:val="00253BF9"/>
    <w:rsid w:val="00260DEE"/>
    <w:rsid w:val="00271AA0"/>
    <w:rsid w:val="00283BB3"/>
    <w:rsid w:val="00284350"/>
    <w:rsid w:val="00286BDF"/>
    <w:rsid w:val="00292F67"/>
    <w:rsid w:val="0029317C"/>
    <w:rsid w:val="00294588"/>
    <w:rsid w:val="0029535C"/>
    <w:rsid w:val="002A54B4"/>
    <w:rsid w:val="002A6CB5"/>
    <w:rsid w:val="002B3465"/>
    <w:rsid w:val="002B6FE4"/>
    <w:rsid w:val="002C06C7"/>
    <w:rsid w:val="002C2999"/>
    <w:rsid w:val="002C2B1E"/>
    <w:rsid w:val="002C2EA4"/>
    <w:rsid w:val="002C4222"/>
    <w:rsid w:val="002C423F"/>
    <w:rsid w:val="002E1E02"/>
    <w:rsid w:val="00300E7B"/>
    <w:rsid w:val="00305E29"/>
    <w:rsid w:val="00312690"/>
    <w:rsid w:val="00312EDE"/>
    <w:rsid w:val="003130AF"/>
    <w:rsid w:val="00314F01"/>
    <w:rsid w:val="003253D3"/>
    <w:rsid w:val="00326584"/>
    <w:rsid w:val="00327C3B"/>
    <w:rsid w:val="0033038D"/>
    <w:rsid w:val="00333BC4"/>
    <w:rsid w:val="00340CCC"/>
    <w:rsid w:val="0034187A"/>
    <w:rsid w:val="00346E4F"/>
    <w:rsid w:val="00347777"/>
    <w:rsid w:val="0036159B"/>
    <w:rsid w:val="00361B89"/>
    <w:rsid w:val="003631AB"/>
    <w:rsid w:val="00365342"/>
    <w:rsid w:val="00365576"/>
    <w:rsid w:val="00367D9E"/>
    <w:rsid w:val="00375FCC"/>
    <w:rsid w:val="0037685C"/>
    <w:rsid w:val="0037772D"/>
    <w:rsid w:val="00382954"/>
    <w:rsid w:val="003861FA"/>
    <w:rsid w:val="003A51F8"/>
    <w:rsid w:val="003A5291"/>
    <w:rsid w:val="003A6A56"/>
    <w:rsid w:val="003B191F"/>
    <w:rsid w:val="003B4F4C"/>
    <w:rsid w:val="003C137B"/>
    <w:rsid w:val="003D12C5"/>
    <w:rsid w:val="003D1A10"/>
    <w:rsid w:val="003D329D"/>
    <w:rsid w:val="003D394C"/>
    <w:rsid w:val="003D3EA3"/>
    <w:rsid w:val="003E75B5"/>
    <w:rsid w:val="003F1D0A"/>
    <w:rsid w:val="003F474C"/>
    <w:rsid w:val="00403F37"/>
    <w:rsid w:val="004109FF"/>
    <w:rsid w:val="00411FD1"/>
    <w:rsid w:val="00412633"/>
    <w:rsid w:val="004222EE"/>
    <w:rsid w:val="004242F0"/>
    <w:rsid w:val="00425E70"/>
    <w:rsid w:val="00437CE6"/>
    <w:rsid w:val="00443CD7"/>
    <w:rsid w:val="00444644"/>
    <w:rsid w:val="00446D19"/>
    <w:rsid w:val="0044787A"/>
    <w:rsid w:val="00453D96"/>
    <w:rsid w:val="00454F82"/>
    <w:rsid w:val="00461460"/>
    <w:rsid w:val="0046337E"/>
    <w:rsid w:val="004648AC"/>
    <w:rsid w:val="0046779E"/>
    <w:rsid w:val="00470426"/>
    <w:rsid w:val="00470BE3"/>
    <w:rsid w:val="00472D00"/>
    <w:rsid w:val="00475D44"/>
    <w:rsid w:val="00482CE9"/>
    <w:rsid w:val="0048485D"/>
    <w:rsid w:val="004849AF"/>
    <w:rsid w:val="00493DFC"/>
    <w:rsid w:val="004940A3"/>
    <w:rsid w:val="004968B4"/>
    <w:rsid w:val="00497359"/>
    <w:rsid w:val="004A20A8"/>
    <w:rsid w:val="004A4363"/>
    <w:rsid w:val="004A6319"/>
    <w:rsid w:val="004B24B4"/>
    <w:rsid w:val="004B3B52"/>
    <w:rsid w:val="004B784B"/>
    <w:rsid w:val="004C06FB"/>
    <w:rsid w:val="004C070F"/>
    <w:rsid w:val="004C0907"/>
    <w:rsid w:val="004C0F96"/>
    <w:rsid w:val="004C3656"/>
    <w:rsid w:val="004C58A8"/>
    <w:rsid w:val="004C751C"/>
    <w:rsid w:val="004D7D5D"/>
    <w:rsid w:val="004D7ED9"/>
    <w:rsid w:val="004E1CE4"/>
    <w:rsid w:val="004F02B9"/>
    <w:rsid w:val="004F0A85"/>
    <w:rsid w:val="004F34E1"/>
    <w:rsid w:val="004F3E26"/>
    <w:rsid w:val="00510786"/>
    <w:rsid w:val="0051106B"/>
    <w:rsid w:val="00511478"/>
    <w:rsid w:val="00512BD9"/>
    <w:rsid w:val="00513B3D"/>
    <w:rsid w:val="00525577"/>
    <w:rsid w:val="00525D79"/>
    <w:rsid w:val="005279A4"/>
    <w:rsid w:val="00531985"/>
    <w:rsid w:val="00536ED7"/>
    <w:rsid w:val="00537CE6"/>
    <w:rsid w:val="005404A0"/>
    <w:rsid w:val="00540520"/>
    <w:rsid w:val="005426B0"/>
    <w:rsid w:val="005443E0"/>
    <w:rsid w:val="00544AEE"/>
    <w:rsid w:val="00546943"/>
    <w:rsid w:val="00550D66"/>
    <w:rsid w:val="00552373"/>
    <w:rsid w:val="00553A12"/>
    <w:rsid w:val="00557C71"/>
    <w:rsid w:val="0056232E"/>
    <w:rsid w:val="00562A1E"/>
    <w:rsid w:val="00566353"/>
    <w:rsid w:val="005731DA"/>
    <w:rsid w:val="005733B6"/>
    <w:rsid w:val="00577B8B"/>
    <w:rsid w:val="00577EC7"/>
    <w:rsid w:val="00583313"/>
    <w:rsid w:val="00585DB6"/>
    <w:rsid w:val="0059185D"/>
    <w:rsid w:val="005922E6"/>
    <w:rsid w:val="00593F88"/>
    <w:rsid w:val="005947DA"/>
    <w:rsid w:val="0059522D"/>
    <w:rsid w:val="00597B4F"/>
    <w:rsid w:val="005A2177"/>
    <w:rsid w:val="005A4DFA"/>
    <w:rsid w:val="005B0C16"/>
    <w:rsid w:val="005B3DAB"/>
    <w:rsid w:val="005B3F43"/>
    <w:rsid w:val="005C0302"/>
    <w:rsid w:val="005C1ACE"/>
    <w:rsid w:val="005C4F71"/>
    <w:rsid w:val="005C7631"/>
    <w:rsid w:val="005D43FF"/>
    <w:rsid w:val="005D51D1"/>
    <w:rsid w:val="005D7774"/>
    <w:rsid w:val="005E314B"/>
    <w:rsid w:val="005E45BB"/>
    <w:rsid w:val="005F44EE"/>
    <w:rsid w:val="005F73D3"/>
    <w:rsid w:val="006103CE"/>
    <w:rsid w:val="00611A97"/>
    <w:rsid w:val="0061297F"/>
    <w:rsid w:val="0061433F"/>
    <w:rsid w:val="00617F0E"/>
    <w:rsid w:val="006253B3"/>
    <w:rsid w:val="00630339"/>
    <w:rsid w:val="00643961"/>
    <w:rsid w:val="00653292"/>
    <w:rsid w:val="006569B9"/>
    <w:rsid w:val="00661C9B"/>
    <w:rsid w:val="006728C7"/>
    <w:rsid w:val="00676E9B"/>
    <w:rsid w:val="00677C73"/>
    <w:rsid w:val="00680757"/>
    <w:rsid w:val="0068117D"/>
    <w:rsid w:val="00684827"/>
    <w:rsid w:val="0069524D"/>
    <w:rsid w:val="006A0817"/>
    <w:rsid w:val="006A1456"/>
    <w:rsid w:val="006B511E"/>
    <w:rsid w:val="006B62EA"/>
    <w:rsid w:val="006B7362"/>
    <w:rsid w:val="006C3C7D"/>
    <w:rsid w:val="006C428B"/>
    <w:rsid w:val="006C6903"/>
    <w:rsid w:val="006C6A90"/>
    <w:rsid w:val="006D0472"/>
    <w:rsid w:val="006D0767"/>
    <w:rsid w:val="006D2689"/>
    <w:rsid w:val="006D2910"/>
    <w:rsid w:val="006D7E0E"/>
    <w:rsid w:val="006E0282"/>
    <w:rsid w:val="006E0D3E"/>
    <w:rsid w:val="006E3E16"/>
    <w:rsid w:val="006E5208"/>
    <w:rsid w:val="006E735D"/>
    <w:rsid w:val="006E7854"/>
    <w:rsid w:val="006F3D63"/>
    <w:rsid w:val="00702889"/>
    <w:rsid w:val="0070415D"/>
    <w:rsid w:val="007063B9"/>
    <w:rsid w:val="00706EEF"/>
    <w:rsid w:val="007125D5"/>
    <w:rsid w:val="00713AC9"/>
    <w:rsid w:val="00713CA8"/>
    <w:rsid w:val="00713CBD"/>
    <w:rsid w:val="00714389"/>
    <w:rsid w:val="00715109"/>
    <w:rsid w:val="00725FAF"/>
    <w:rsid w:val="00726885"/>
    <w:rsid w:val="00730FDC"/>
    <w:rsid w:val="0073129A"/>
    <w:rsid w:val="00733A4B"/>
    <w:rsid w:val="00734372"/>
    <w:rsid w:val="007348C2"/>
    <w:rsid w:val="00742E3B"/>
    <w:rsid w:val="0074509E"/>
    <w:rsid w:val="00745119"/>
    <w:rsid w:val="00746674"/>
    <w:rsid w:val="00747126"/>
    <w:rsid w:val="0076745A"/>
    <w:rsid w:val="00767E45"/>
    <w:rsid w:val="00780E46"/>
    <w:rsid w:val="00785C05"/>
    <w:rsid w:val="00786283"/>
    <w:rsid w:val="00793306"/>
    <w:rsid w:val="007A2BB3"/>
    <w:rsid w:val="007B1FE1"/>
    <w:rsid w:val="007B5193"/>
    <w:rsid w:val="007C3FEE"/>
    <w:rsid w:val="007D09E0"/>
    <w:rsid w:val="007D5EED"/>
    <w:rsid w:val="007D7279"/>
    <w:rsid w:val="007E0476"/>
    <w:rsid w:val="007E2E32"/>
    <w:rsid w:val="007E6909"/>
    <w:rsid w:val="007E6F90"/>
    <w:rsid w:val="007F46A9"/>
    <w:rsid w:val="007F4FFC"/>
    <w:rsid w:val="00800278"/>
    <w:rsid w:val="00801E9B"/>
    <w:rsid w:val="00803937"/>
    <w:rsid w:val="0080637D"/>
    <w:rsid w:val="00810119"/>
    <w:rsid w:val="00811DA8"/>
    <w:rsid w:val="0082268D"/>
    <w:rsid w:val="008302F1"/>
    <w:rsid w:val="00830AA1"/>
    <w:rsid w:val="00831F2D"/>
    <w:rsid w:val="00832771"/>
    <w:rsid w:val="00836A8F"/>
    <w:rsid w:val="0084405A"/>
    <w:rsid w:val="00844515"/>
    <w:rsid w:val="0084466A"/>
    <w:rsid w:val="00847130"/>
    <w:rsid w:val="00860E72"/>
    <w:rsid w:val="00861E03"/>
    <w:rsid w:val="008620F3"/>
    <w:rsid w:val="0086747B"/>
    <w:rsid w:val="00874716"/>
    <w:rsid w:val="00875D32"/>
    <w:rsid w:val="00891AA1"/>
    <w:rsid w:val="00893AB6"/>
    <w:rsid w:val="00895476"/>
    <w:rsid w:val="008A550E"/>
    <w:rsid w:val="008B071F"/>
    <w:rsid w:val="008B5707"/>
    <w:rsid w:val="008C7A68"/>
    <w:rsid w:val="008D1E1F"/>
    <w:rsid w:val="008D22BD"/>
    <w:rsid w:val="008D247F"/>
    <w:rsid w:val="008D5E9E"/>
    <w:rsid w:val="008D5F5C"/>
    <w:rsid w:val="008D7D3F"/>
    <w:rsid w:val="008E46F3"/>
    <w:rsid w:val="008F0209"/>
    <w:rsid w:val="008F2714"/>
    <w:rsid w:val="009011ED"/>
    <w:rsid w:val="00911CAB"/>
    <w:rsid w:val="00914540"/>
    <w:rsid w:val="00924CBC"/>
    <w:rsid w:val="00924D8A"/>
    <w:rsid w:val="0093291F"/>
    <w:rsid w:val="0093373E"/>
    <w:rsid w:val="00944BE4"/>
    <w:rsid w:val="009470F2"/>
    <w:rsid w:val="00955409"/>
    <w:rsid w:val="009572BA"/>
    <w:rsid w:val="00962F3C"/>
    <w:rsid w:val="00966FAB"/>
    <w:rsid w:val="00967E9B"/>
    <w:rsid w:val="0097567D"/>
    <w:rsid w:val="009821BB"/>
    <w:rsid w:val="00982272"/>
    <w:rsid w:val="00982C0F"/>
    <w:rsid w:val="00983EFE"/>
    <w:rsid w:val="00987725"/>
    <w:rsid w:val="009A1966"/>
    <w:rsid w:val="009B10C8"/>
    <w:rsid w:val="009B271C"/>
    <w:rsid w:val="009B7A06"/>
    <w:rsid w:val="009C0380"/>
    <w:rsid w:val="009C0C56"/>
    <w:rsid w:val="009C2082"/>
    <w:rsid w:val="009C3200"/>
    <w:rsid w:val="009C7E3D"/>
    <w:rsid w:val="009E4DC8"/>
    <w:rsid w:val="009E7076"/>
    <w:rsid w:val="009F26D9"/>
    <w:rsid w:val="009F3E35"/>
    <w:rsid w:val="009F7D43"/>
    <w:rsid w:val="00A0240D"/>
    <w:rsid w:val="00A03C94"/>
    <w:rsid w:val="00A10270"/>
    <w:rsid w:val="00A11529"/>
    <w:rsid w:val="00A175BC"/>
    <w:rsid w:val="00A24455"/>
    <w:rsid w:val="00A30032"/>
    <w:rsid w:val="00A328A4"/>
    <w:rsid w:val="00A32F82"/>
    <w:rsid w:val="00A343A6"/>
    <w:rsid w:val="00A451EA"/>
    <w:rsid w:val="00A4711E"/>
    <w:rsid w:val="00A47C86"/>
    <w:rsid w:val="00A51ECB"/>
    <w:rsid w:val="00A5263F"/>
    <w:rsid w:val="00A54DCC"/>
    <w:rsid w:val="00A5680D"/>
    <w:rsid w:val="00A602FD"/>
    <w:rsid w:val="00A63454"/>
    <w:rsid w:val="00A64916"/>
    <w:rsid w:val="00A73466"/>
    <w:rsid w:val="00A74520"/>
    <w:rsid w:val="00A82135"/>
    <w:rsid w:val="00A827E8"/>
    <w:rsid w:val="00A84290"/>
    <w:rsid w:val="00A85381"/>
    <w:rsid w:val="00A85656"/>
    <w:rsid w:val="00A8648B"/>
    <w:rsid w:val="00A8795B"/>
    <w:rsid w:val="00A921AB"/>
    <w:rsid w:val="00A9586D"/>
    <w:rsid w:val="00A972F7"/>
    <w:rsid w:val="00AA045D"/>
    <w:rsid w:val="00AA1986"/>
    <w:rsid w:val="00AA3007"/>
    <w:rsid w:val="00AA32EC"/>
    <w:rsid w:val="00AA4701"/>
    <w:rsid w:val="00AA529E"/>
    <w:rsid w:val="00AA57C4"/>
    <w:rsid w:val="00AA5E93"/>
    <w:rsid w:val="00AB1E6D"/>
    <w:rsid w:val="00AB4C14"/>
    <w:rsid w:val="00AB55F1"/>
    <w:rsid w:val="00AB79A7"/>
    <w:rsid w:val="00AC51E0"/>
    <w:rsid w:val="00AD01F1"/>
    <w:rsid w:val="00AD3759"/>
    <w:rsid w:val="00AD496C"/>
    <w:rsid w:val="00AE375E"/>
    <w:rsid w:val="00AE40FA"/>
    <w:rsid w:val="00AF1461"/>
    <w:rsid w:val="00AF208C"/>
    <w:rsid w:val="00B009D9"/>
    <w:rsid w:val="00B02199"/>
    <w:rsid w:val="00B03D05"/>
    <w:rsid w:val="00B05A9E"/>
    <w:rsid w:val="00B06607"/>
    <w:rsid w:val="00B07F06"/>
    <w:rsid w:val="00B12B95"/>
    <w:rsid w:val="00B144E6"/>
    <w:rsid w:val="00B31C17"/>
    <w:rsid w:val="00B357DB"/>
    <w:rsid w:val="00B365BC"/>
    <w:rsid w:val="00B431E6"/>
    <w:rsid w:val="00B449AA"/>
    <w:rsid w:val="00B46268"/>
    <w:rsid w:val="00B5289F"/>
    <w:rsid w:val="00B5385A"/>
    <w:rsid w:val="00B53B38"/>
    <w:rsid w:val="00B56B2E"/>
    <w:rsid w:val="00B66F7D"/>
    <w:rsid w:val="00B75A12"/>
    <w:rsid w:val="00B82610"/>
    <w:rsid w:val="00B83D33"/>
    <w:rsid w:val="00B86155"/>
    <w:rsid w:val="00B878EA"/>
    <w:rsid w:val="00B92C6D"/>
    <w:rsid w:val="00B94616"/>
    <w:rsid w:val="00B97165"/>
    <w:rsid w:val="00B9746F"/>
    <w:rsid w:val="00BA3E99"/>
    <w:rsid w:val="00BA4148"/>
    <w:rsid w:val="00BA7553"/>
    <w:rsid w:val="00BC188A"/>
    <w:rsid w:val="00BC4B9D"/>
    <w:rsid w:val="00BC76E9"/>
    <w:rsid w:val="00BD554A"/>
    <w:rsid w:val="00BD78CB"/>
    <w:rsid w:val="00BD79F9"/>
    <w:rsid w:val="00BE07BA"/>
    <w:rsid w:val="00BE20A1"/>
    <w:rsid w:val="00BE3CC0"/>
    <w:rsid w:val="00BF1BE0"/>
    <w:rsid w:val="00BF38C6"/>
    <w:rsid w:val="00BF7BD9"/>
    <w:rsid w:val="00C04311"/>
    <w:rsid w:val="00C05D92"/>
    <w:rsid w:val="00C114F3"/>
    <w:rsid w:val="00C11AF4"/>
    <w:rsid w:val="00C124DA"/>
    <w:rsid w:val="00C1296F"/>
    <w:rsid w:val="00C151B3"/>
    <w:rsid w:val="00C337B8"/>
    <w:rsid w:val="00C3392C"/>
    <w:rsid w:val="00C3481E"/>
    <w:rsid w:val="00C36A0A"/>
    <w:rsid w:val="00C41F71"/>
    <w:rsid w:val="00C425AB"/>
    <w:rsid w:val="00C43313"/>
    <w:rsid w:val="00C46590"/>
    <w:rsid w:val="00C53632"/>
    <w:rsid w:val="00C561AB"/>
    <w:rsid w:val="00C57741"/>
    <w:rsid w:val="00C626CB"/>
    <w:rsid w:val="00C64892"/>
    <w:rsid w:val="00C64A47"/>
    <w:rsid w:val="00C65F49"/>
    <w:rsid w:val="00C666F5"/>
    <w:rsid w:val="00C70012"/>
    <w:rsid w:val="00C71E9A"/>
    <w:rsid w:val="00C83AF8"/>
    <w:rsid w:val="00C8411C"/>
    <w:rsid w:val="00C87C7E"/>
    <w:rsid w:val="00CA175E"/>
    <w:rsid w:val="00CA279C"/>
    <w:rsid w:val="00CA7F74"/>
    <w:rsid w:val="00CB0449"/>
    <w:rsid w:val="00CB1D20"/>
    <w:rsid w:val="00CB2C63"/>
    <w:rsid w:val="00CB7619"/>
    <w:rsid w:val="00CB7D75"/>
    <w:rsid w:val="00CC0181"/>
    <w:rsid w:val="00CC635D"/>
    <w:rsid w:val="00CC6861"/>
    <w:rsid w:val="00CC7AAC"/>
    <w:rsid w:val="00CD17BB"/>
    <w:rsid w:val="00CD2299"/>
    <w:rsid w:val="00CD5436"/>
    <w:rsid w:val="00CD775A"/>
    <w:rsid w:val="00CF1FCB"/>
    <w:rsid w:val="00D012F4"/>
    <w:rsid w:val="00D0293A"/>
    <w:rsid w:val="00D035DA"/>
    <w:rsid w:val="00D04073"/>
    <w:rsid w:val="00D052B1"/>
    <w:rsid w:val="00D06F8E"/>
    <w:rsid w:val="00D07983"/>
    <w:rsid w:val="00D15370"/>
    <w:rsid w:val="00D15A60"/>
    <w:rsid w:val="00D15AFC"/>
    <w:rsid w:val="00D177C7"/>
    <w:rsid w:val="00D22A32"/>
    <w:rsid w:val="00D24B8B"/>
    <w:rsid w:val="00D25FF6"/>
    <w:rsid w:val="00D271F4"/>
    <w:rsid w:val="00D30649"/>
    <w:rsid w:val="00D33746"/>
    <w:rsid w:val="00D347F7"/>
    <w:rsid w:val="00D35BE1"/>
    <w:rsid w:val="00D41868"/>
    <w:rsid w:val="00D42913"/>
    <w:rsid w:val="00D448E2"/>
    <w:rsid w:val="00D44928"/>
    <w:rsid w:val="00D542EB"/>
    <w:rsid w:val="00D543C1"/>
    <w:rsid w:val="00D54CA3"/>
    <w:rsid w:val="00D55CD3"/>
    <w:rsid w:val="00D57F08"/>
    <w:rsid w:val="00D60B4C"/>
    <w:rsid w:val="00D63117"/>
    <w:rsid w:val="00D63342"/>
    <w:rsid w:val="00D64307"/>
    <w:rsid w:val="00D67D74"/>
    <w:rsid w:val="00D70817"/>
    <w:rsid w:val="00D72E88"/>
    <w:rsid w:val="00D74BE3"/>
    <w:rsid w:val="00D7793C"/>
    <w:rsid w:val="00D82F4F"/>
    <w:rsid w:val="00D916F2"/>
    <w:rsid w:val="00D932B2"/>
    <w:rsid w:val="00DA7021"/>
    <w:rsid w:val="00DB08CF"/>
    <w:rsid w:val="00DB0ABC"/>
    <w:rsid w:val="00DB2250"/>
    <w:rsid w:val="00DB24FE"/>
    <w:rsid w:val="00DB39DC"/>
    <w:rsid w:val="00DB4F53"/>
    <w:rsid w:val="00DB5797"/>
    <w:rsid w:val="00DB6105"/>
    <w:rsid w:val="00DB6892"/>
    <w:rsid w:val="00DB6C6C"/>
    <w:rsid w:val="00DC21FF"/>
    <w:rsid w:val="00DC2258"/>
    <w:rsid w:val="00DC5208"/>
    <w:rsid w:val="00DC58FC"/>
    <w:rsid w:val="00DD1171"/>
    <w:rsid w:val="00DD55F5"/>
    <w:rsid w:val="00DD70C5"/>
    <w:rsid w:val="00DD776A"/>
    <w:rsid w:val="00DE54B8"/>
    <w:rsid w:val="00DF1134"/>
    <w:rsid w:val="00DF14F1"/>
    <w:rsid w:val="00DF1DD3"/>
    <w:rsid w:val="00DF71A8"/>
    <w:rsid w:val="00E00420"/>
    <w:rsid w:val="00E00912"/>
    <w:rsid w:val="00E00C03"/>
    <w:rsid w:val="00E05C05"/>
    <w:rsid w:val="00E1400E"/>
    <w:rsid w:val="00E1478C"/>
    <w:rsid w:val="00E171D8"/>
    <w:rsid w:val="00E17272"/>
    <w:rsid w:val="00E17BCD"/>
    <w:rsid w:val="00E20A5B"/>
    <w:rsid w:val="00E21A40"/>
    <w:rsid w:val="00E21C2B"/>
    <w:rsid w:val="00E24CE7"/>
    <w:rsid w:val="00E3278D"/>
    <w:rsid w:val="00E3315F"/>
    <w:rsid w:val="00E36709"/>
    <w:rsid w:val="00E42420"/>
    <w:rsid w:val="00E462D0"/>
    <w:rsid w:val="00E621B9"/>
    <w:rsid w:val="00E6379D"/>
    <w:rsid w:val="00E65FF9"/>
    <w:rsid w:val="00E67276"/>
    <w:rsid w:val="00E813EB"/>
    <w:rsid w:val="00E820B9"/>
    <w:rsid w:val="00E82B17"/>
    <w:rsid w:val="00E84032"/>
    <w:rsid w:val="00E85CA5"/>
    <w:rsid w:val="00E87160"/>
    <w:rsid w:val="00E87234"/>
    <w:rsid w:val="00E878CC"/>
    <w:rsid w:val="00E93EF0"/>
    <w:rsid w:val="00EA08F1"/>
    <w:rsid w:val="00EA418D"/>
    <w:rsid w:val="00EB135B"/>
    <w:rsid w:val="00EC1E12"/>
    <w:rsid w:val="00EC6EB7"/>
    <w:rsid w:val="00EC6ED7"/>
    <w:rsid w:val="00ED4B82"/>
    <w:rsid w:val="00EE1E2F"/>
    <w:rsid w:val="00EF3A36"/>
    <w:rsid w:val="00EF58FD"/>
    <w:rsid w:val="00F024A4"/>
    <w:rsid w:val="00F04177"/>
    <w:rsid w:val="00F12537"/>
    <w:rsid w:val="00F1380F"/>
    <w:rsid w:val="00F13CA5"/>
    <w:rsid w:val="00F14254"/>
    <w:rsid w:val="00F1702A"/>
    <w:rsid w:val="00F17C63"/>
    <w:rsid w:val="00F217AE"/>
    <w:rsid w:val="00F27302"/>
    <w:rsid w:val="00F32A97"/>
    <w:rsid w:val="00F41728"/>
    <w:rsid w:val="00F43BAB"/>
    <w:rsid w:val="00F446A0"/>
    <w:rsid w:val="00F50396"/>
    <w:rsid w:val="00F54402"/>
    <w:rsid w:val="00F55486"/>
    <w:rsid w:val="00F56E83"/>
    <w:rsid w:val="00F61363"/>
    <w:rsid w:val="00F62B74"/>
    <w:rsid w:val="00F7058C"/>
    <w:rsid w:val="00F71347"/>
    <w:rsid w:val="00F71DB3"/>
    <w:rsid w:val="00F729C6"/>
    <w:rsid w:val="00F8158C"/>
    <w:rsid w:val="00F81A18"/>
    <w:rsid w:val="00F83BD4"/>
    <w:rsid w:val="00F84AB4"/>
    <w:rsid w:val="00F92AE7"/>
    <w:rsid w:val="00F92E33"/>
    <w:rsid w:val="00F94A0C"/>
    <w:rsid w:val="00FA3901"/>
    <w:rsid w:val="00FB10CF"/>
    <w:rsid w:val="00FB28F2"/>
    <w:rsid w:val="00FB5B3D"/>
    <w:rsid w:val="00FC268D"/>
    <w:rsid w:val="00FC2A2D"/>
    <w:rsid w:val="00FC2AE6"/>
    <w:rsid w:val="00FC451A"/>
    <w:rsid w:val="00FC74E5"/>
    <w:rsid w:val="00FC78AC"/>
    <w:rsid w:val="00FD0889"/>
    <w:rsid w:val="00FD1698"/>
    <w:rsid w:val="00FD36E1"/>
    <w:rsid w:val="00FD4D17"/>
    <w:rsid w:val="00FD6900"/>
    <w:rsid w:val="00FD7783"/>
    <w:rsid w:val="00FD7832"/>
    <w:rsid w:val="00FE55DC"/>
    <w:rsid w:val="00FE6C8A"/>
    <w:rsid w:val="00FF1A54"/>
    <w:rsid w:val="00FF455B"/>
    <w:rsid w:val="1EF721C5"/>
    <w:rsid w:val="3A9FBA7C"/>
    <w:rsid w:val="5FFA6B02"/>
    <w:rsid w:val="5FFE0556"/>
    <w:rsid w:val="6DFBC5A7"/>
    <w:rsid w:val="77FF9572"/>
    <w:rsid w:val="7CBB8BA6"/>
    <w:rsid w:val="7F0BFC96"/>
    <w:rsid w:val="8AFD25B1"/>
    <w:rsid w:val="8FD2E732"/>
    <w:rsid w:val="AFF724AC"/>
    <w:rsid w:val="D9FB4B59"/>
    <w:rsid w:val="EDFF99BE"/>
    <w:rsid w:val="F69FFD3E"/>
    <w:rsid w:val="FC7B4008"/>
    <w:rsid w:val="FDEE9475"/>
    <w:rsid w:val="FFDC1BF5"/>
    <w:rsid w:val="FFE70CE5"/>
    <w:rsid w:val="FFFAE3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9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1"/>
      <w:lang w:val="en-US" w:eastAsia="zh-CN" w:bidi="ar-SA"/>
    </w:rPr>
  </w:style>
  <w:style w:type="character" w:default="1" w:styleId="5">
    <w:name w:val="Default Paragraph Font"/>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2">
    <w:name w:val="Normal (Web)"/>
    <w:basedOn w:val="1"/>
    <w:unhideWhenUsed/>
    <w:uiPriority w:val="99"/>
    <w:rPr>
      <w:sz w:val="24"/>
      <w:szCs w:val="24"/>
    </w:rPr>
  </w:style>
  <w:style w:type="table" w:styleId="4">
    <w:name w:val="Table Grid"/>
    <w:basedOn w:val="3"/>
    <w:uiPriority w:val="99"/>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6">
    <w:name w:val="FollowedHyperlink"/>
    <w:basedOn w:val="5"/>
    <w:semiHidden/>
    <w:unhideWhenUsed/>
    <w:uiPriority w:val="99"/>
    <w:rPr>
      <w:color w:val="954F72" w:themeColor="followedHyperlink"/>
      <w:u w:val="single"/>
      <w14:textFill>
        <w14:solidFill>
          <w14:schemeClr w14:val="folHlink"/>
        </w14:solidFill>
      </w14:textFill>
    </w:rPr>
  </w:style>
  <w:style w:type="character" w:styleId="7">
    <w:name w:val="Hyperlink"/>
    <w:basedOn w:val="5"/>
    <w:unhideWhenUsed/>
    <w:uiPriority w:val="99"/>
    <w:rPr>
      <w:color w:val="0563C1" w:themeColor="hyperlink"/>
      <w:u w:val="single"/>
      <w14:textFill>
        <w14:solidFill>
          <w14:schemeClr w14:val="hlink"/>
        </w14:solidFill>
      </w14:textFill>
    </w:rPr>
  </w:style>
  <w:style w:type="paragraph" w:customStyle="1" w:styleId="8">
    <w:name w:val="msonormal"/>
    <w:basedOn w:val="1"/>
    <w:uiPriority w:val="0"/>
    <w:pPr>
      <w:widowControl/>
      <w:spacing w:before="100" w:beforeAutospacing="1" w:after="100" w:afterAutospacing="1"/>
      <w:jc w:val="left"/>
    </w:pPr>
    <w:rPr>
      <w:rFonts w:ascii="宋体" w:hAnsi="宋体" w:cs="宋体"/>
      <w:kern w:val="0"/>
      <w:sz w:val="24"/>
      <w:szCs w:val="24"/>
    </w:rPr>
  </w:style>
  <w:style w:type="paragraph" w:customStyle="1" w:styleId="9">
    <w:name w:val="EndNote Bibliography Title"/>
    <w:basedOn w:val="1"/>
    <w:link w:val="10"/>
    <w:uiPriority w:val="0"/>
    <w:pPr>
      <w:jc w:val="center"/>
    </w:pPr>
    <w:rPr>
      <w:rFonts w:cs="Calibri"/>
      <w:sz w:val="20"/>
    </w:rPr>
  </w:style>
  <w:style w:type="character" w:customStyle="1" w:styleId="10">
    <w:name w:val="EndNote Bibliography Title 字符"/>
    <w:basedOn w:val="5"/>
    <w:link w:val="9"/>
    <w:uiPriority w:val="0"/>
    <w:rPr>
      <w:rFonts w:ascii="Calibri" w:hAnsi="Calibri" w:eastAsia="宋体" w:cs="Calibri"/>
      <w:kern w:val="2"/>
      <w:szCs w:val="21"/>
    </w:rPr>
  </w:style>
  <w:style w:type="paragraph" w:customStyle="1" w:styleId="11">
    <w:name w:val="EndNote Bibliography"/>
    <w:basedOn w:val="1"/>
    <w:link w:val="12"/>
    <w:uiPriority w:val="0"/>
    <w:rPr>
      <w:rFonts w:cs="Calibri"/>
      <w:sz w:val="20"/>
    </w:rPr>
  </w:style>
  <w:style w:type="character" w:customStyle="1" w:styleId="12">
    <w:name w:val="EndNote Bibliography 字符"/>
    <w:basedOn w:val="5"/>
    <w:link w:val="11"/>
    <w:uiPriority w:val="0"/>
    <w:rPr>
      <w:rFonts w:ascii="Calibri" w:hAnsi="Calibri" w:eastAsia="宋体" w:cs="Calibri"/>
      <w:kern w:val="2"/>
      <w:szCs w:val="21"/>
    </w:rPr>
  </w:style>
  <w:style w:type="character" w:styleId="13">
    <w:name w:val="Placeholder Text"/>
    <w:basedOn w:val="5"/>
    <w:semiHidden/>
    <w:uiPriority w:val="99"/>
    <w:rPr>
      <w:color w:val="808080"/>
    </w:rPr>
  </w:style>
  <w:style w:type="character" w:customStyle="1" w:styleId="14">
    <w:name w:val="未处理的提及1"/>
    <w:basedOn w:val="5"/>
    <w:uiPriority w:val="99"/>
    <w:rPr>
      <w:color w:val="605E5C"/>
      <w:shd w:val="clear" w:color="auto" w:fill="E1DFDD"/>
    </w:rPr>
  </w:style>
  <w:style w:type="character" w:customStyle="1" w:styleId="15">
    <w:name w:val="Unresolved Mention"/>
    <w:basedOn w:val="5"/>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8125</Words>
  <Characters>48919</Characters>
  <Lines>1686</Lines>
  <Paragraphs>1213</Paragraphs>
  <TotalTime>1</TotalTime>
  <ScaleCrop>false</ScaleCrop>
  <LinksUpToDate>false</LinksUpToDate>
  <CharactersWithSpaces>55831</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2026-02-12T14:35:00Z</dcterms:created>
  <dc:creator>赵 斌</dc:creator>
  <cp:lastModifiedBy>我是一个博士</cp:lastModifiedBy>
  <cp:lastPrinted>2023-01-24T12:19:00Z</cp:lastPrinted>
  <dcterms:modified xsi:type="dcterms:W3CDTF">2026-02-16T09:37:53Z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174BE5C3EE04E766F1AEE868614755F8_43</vt:lpwstr>
  </property>
</Properties>
</file>