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52" w:lineRule="auto"/>
      </w:pPr>
      <w:r>
        <w:rPr>
          <w:sz w:val="44"/>
        </w:rPr>
        <w:t>HK239HG 四海11月班 任教回覆</w:t>
      </w:r>
    </w:p>
    <w:p>
      <w:pPr>
        <w:spacing w:before="0" w:after="160" w:line="252" w:lineRule="auto"/>
      </w:pPr>
      <w:r>
        <w:rPr>
          <w:sz w:val="22"/>
        </w:rPr>
        <w:t>Garett Wong　｜　回覆日期：2026年10月1日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1"/>
        <w:gridCol w:w="965"/>
        <w:gridCol w:w="432"/>
        <w:gridCol w:w="1627"/>
        <w:gridCol w:w="792"/>
        <w:gridCol w:w="1152"/>
        <w:gridCol w:w="4939"/>
      </w:tblGrid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節數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星期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時間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課室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回覆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3"/>
          </w:tcPr>
          <w:p>
            <w:pPr>
              <w:spacing w:before="140" w:after="140" w:line="259" w:lineRule="auto"/>
              <w:jc w:val="left"/>
            </w:pPr>
            <w:r>
              <w:rPr>
                <w:b/>
                <w:sz w:val="22"/>
              </w:rPr>
              <w:t>原因／交通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11月10日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205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可以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left"/>
            </w:pPr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11月10日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可以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left"/>
            </w:pPr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11月17日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不可以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left"/>
            </w:pPr>
            <w:r>
              <w:rPr>
                <w:b w:val="0"/>
                <w:sz w:val="22"/>
              </w:rPr>
              <w:t>HK267HG CW2 第5節（彩雲）</w:t>
              <w:br/>
              <w:t>10:00–13:30，與本節時間重疊。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11月17日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不可以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left"/>
            </w:pPr>
            <w:r>
              <w:rPr>
                <w:b w:val="0"/>
                <w:sz w:val="22"/>
              </w:rPr>
              <w:t>HK267HG CW2 第5節13:30下課。</w:t>
              <w:br/>
              <w:t>彩雲→四海只有30分鐘（13:30–14:00），交通需40分鐘。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11月24日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10:00–13:00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待核實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left"/>
            </w:pPr>
            <w:r>
              <w:rPr>
                <w:b w:val="0"/>
                <w:sz w:val="22"/>
              </w:rPr>
              <w:t>四海→藍田有60分鐘（13:00–14:00），交通待核實。</w:t>
              <w:br/>
              <w:t>14:00須上HK239HG LT 第2節。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9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11月24日</w:t>
            </w:r>
          </w:p>
        </w:tc>
        <w:tc>
          <w:tcPr>
            <w:tcW w:type="dxa" w:w="4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二</w:t>
            </w:r>
          </w:p>
        </w:tc>
        <w:tc>
          <w:tcPr>
            <w:tcW w:type="dxa" w:w="16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14:00–17:00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 w:val="0"/>
                <w:sz w:val="22"/>
              </w:rPr>
              <w:t>待確認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center"/>
            </w:pPr>
            <w:r>
              <w:rPr>
                <w:b/>
                <w:sz w:val="22"/>
              </w:rPr>
              <w:t>不可以</w:t>
            </w:r>
          </w:p>
        </w:tc>
        <w:tc>
          <w:tcPr>
            <w:tcW w:type="dxa" w:w="49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140" w:after="140" w:line="259" w:lineRule="auto"/>
              <w:jc w:val="left"/>
            </w:pPr>
            <w:r>
              <w:rPr>
                <w:b w:val="0"/>
                <w:sz w:val="22"/>
              </w:rPr>
              <w:t>HK239HG LT 第2節（藍田）</w:t>
              <w:br/>
              <w:t>14:00–17:00，與本節時間重疊。</w:t>
            </w:r>
          </w:p>
        </w:tc>
      </w:tr>
    </w:tbl>
    <w:p>
      <w:pPr>
        <w:spacing w:before="0" w:after="160" w:line="252" w:lineRule="auto"/>
      </w:pPr>
      <w:r>
        <w:rPr>
          <w:sz w:val="22"/>
        </w:rPr>
        <w:t>可安排時段仍待Calvin確認；完整班號及其餘課室待確認。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