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Положение на странице</w:t>
      </w:r>
    </w:p>
    <w:p>
      <w:r>
        <w:t>Обычный абзац.</w:t>
      </w:r>
    </w:p>
    <w:p>
      <w:pPr>
        <w:keepNext/>
      </w:pPr>
      <w:r>
        <w:t>Не отрывать от следующего.</w:t>
      </w:r>
    </w:p>
    <w:p>
      <w:pPr>
        <w:keepLines/>
      </w:pPr>
      <w:r>
        <w:t>Не разрывать абзац.</w:t>
      </w:r>
    </w:p>
    <w:p>
      <w:pPr>
        <w:pageBreakBefore/>
      </w:pPr>
      <w:r>
        <w:t>С новой страницы.</w:t>
      </w:r>
    </w:p>
    <w:p>
      <w:pPr>
        <w:widowControl w:val="0"/>
      </w:pPr>
      <w:r>
        <w:t>Без запрета висячих строк.</w:t>
      </w:r>
    </w:p>
    <w:p>
      <w:pPr>
        <w:pStyle w:val="Heading2"/>
        <w:keepNext w:val="0"/>
      </w:pPr>
      <w:r>
        <w:t>Заголовок, который можно отрывать</w:t>
      </w:r>
    </w:p>
    <w:p>
      <w:pPr>
        <w:pStyle w:val="ПодписьПеро"/>
      </w:pPr>
      <w:r>
        <w:t>Абзац стиля с «не отрывать».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Рамка вокруг абзаца.</w:t>
      </w:r>
    </w:p>
    <w:p>
      <w:pPr>
        <w:pBdr>
          <w:bottom w:val="double" w:sz="6" w:space="1" w:color="C00000"/>
        </w:pBdr>
      </w:pPr>
      <w:r>
        <w:t>Нижняя граница двойная красная.</w:t>
      </w:r>
    </w:p>
    <w:p>
      <w:pPr>
        <w:shd w:val="clear" w:color="auto" w:fill="FFFF00"/>
      </w:pPr>
      <w:r>
        <w:t>Заливка жёлтым.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</w:pBdr>
        <w:shd w:val="clear" w:color="auto" w:fill="DEEBF7"/>
      </w:pPr>
      <w:r>
        <w:t>Рамка с заливкой, первый абзац группы.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</w:pBdr>
        <w:shd w:val="clear" w:color="auto" w:fill="DEEBF7"/>
      </w:pPr>
      <w:r>
        <w:t>Второй абзац группы.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ПодписьПеро">
    <w:name w:val="Подпись Перо"/>
    <w:basedOn w:val="Normal"/>
    <w:pPr>
      <w:keepNext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