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STANDARD OPERATING PROCEDURE: AGENT OFFBOARDING &amp; ID DEACTIVATION</w:t>
      </w:r>
    </w:p>
    <w:p>
      <w:r>
        <w:t>Document Title: Agent Termination Process and ID Deactivation Procedure SOP</w:t>
      </w:r>
    </w:p>
    <w:p>
      <w:r>
        <w:t>Version: 2.0</w:t>
      </w:r>
    </w:p>
    <w:p>
      <w:r>
        <w:t>Policy Mandate: Upon employee exit or termination process, IT and HR must adhere to the ID deactivation offboarding checklist and revoke system access within 2 hours of departure.</w:t>
      </w:r>
    </w:p>
    <w:p>
      <w:r>
        <w:t>Scope: Governance policy and exit process framework.</w:t>
      </w:r>
    </w:p>
  </w:body>
</w:document>
</file>

<file path=docProps/core.xml><?xml version="1.0" encoding="UTF-8" standalone="yes"?>
<cp:coreProperties xmlns:cp="http://schemas.openxmlformats.org/package/2006/metadata/core-properties" xmlns:dc="http://purl.org/dc/elements/1.1/">
  <dc:creator>HR & IT Operations</dc:creator>
  <dc:title>Deactivation SOP</dc:title>
  <cp:revision>1</cp:revision>
</cp:coreProperties>
</file>