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r>
        <w:t>SYNTHETIC TEST DATA - FILESENTINEL GOLDEN DATASET</w:t>
      </w:r>
    </w:p>
    <w:p>
      <w:r>
        <w:t>INFORMATION SECURITY POLICY: ENDPOINT SECURITY &amp; USB RESTRICTIONS</w:t>
      </w:r>
    </w:p>
    <w:p>
      <w:r>
        <w:t>Policy Reference: SEC-POL-ENDPOINT-004</w:t>
      </w:r>
    </w:p>
    <w:p>
      <w:r>
        <w:t>Document Title: Endpoint Security Policy &amp; Removable Media Restriction</w:t>
      </w:r>
    </w:p>
    <w:p>
      <w:r>
        <w:t>Policy Version: 2.4</w:t>
      </w:r>
    </w:p>
    <w:p>
      <w:r>
        <w:t>Effective Date: 2026-02-01</w:t>
      </w:r>
    </w:p>
    <w:p>
      <w:r>
        <w:t>Policy Statement: All USB storage devices, external drives, optical media, and unauthorized local printers are strictly prohibited on agency workstations.</w:t>
      </w:r>
    </w:p>
    <w:p>
      <w:r>
        <w:t>Mandate: Hardware ports must be disabled via Active Directory Group Policy Objects (GPO).</w:t>
      </w:r>
    </w:p>
  </w:body>
</w:document>
</file>

<file path=docProps/core.xml><?xml version="1.0" encoding="utf-8"?>
<cp:coreProperties xmlns:cp="http://schemas.openxmlformats.org/package/2006/metadata/core-properties" xmlns:dc="http://purl.org/dc/elements/1.1/">
  <dc:creator>CISO Office</dc:creator>
  <dc:title>Endpoint USB Security Policy</dc:title>
  <cp:revision>1</cp:revision>
</cp:coreProperties>
</file>