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Strategic Investment Analysis: "Risk-Managed Champion"</w:t>
      </w:r>
    </w:p>
    <w:p>
      <w:r>
        <w:t>Date Generated: 2026-02-12</w:t>
      </w:r>
    </w:p>
    <w:p>
      <w:pPr>
        <w:pStyle w:val="Heading1"/>
      </w:pPr>
      <w:r>
        <w:t>Strategic Investment Analysis: Contrarian Breadth "Champion"</w:t>
      </w:r>
    </w:p>
    <w:p>
      <w:r>
        <w:t>**Date Generated:** 2026-02-12</w:t>
      </w:r>
    </w:p>
    <w:p>
      <w:pPr>
        <w:pStyle w:val="Heading2"/>
      </w:pPr>
      <w:r>
        <w:t>1. Executive Summary</w:t>
      </w:r>
    </w:p>
    <w:p>
      <w:r>
        <w:t>This report details the performance of the **Quarterly Contrarian Breadth Strategy** designed to capture alpha by identifying high-quality industry turnarounds. Tested over a 9-year period (May 2017 – Feb 2026), the strategy demonstrates exceptional outperformance against the Top 1000 Market Cap benchmark.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Strategy</w:t>
            </w:r>
          </w:p>
        </w:tc>
        <w:tc>
          <w:tcPr>
            <w:tcW w:type="dxa" w:w="2160"/>
          </w:tcPr>
          <w:p>
            <w:r>
              <w:t>Benchmark</w:t>
            </w:r>
          </w:p>
        </w:tc>
        <w:tc>
          <w:tcPr>
            <w:tcW w:type="dxa" w:w="2160"/>
          </w:tcPr>
          <w:p>
            <w:r>
              <w:t>Difference</w:t>
            </w:r>
          </w:p>
        </w:tc>
      </w:tr>
      <w:tr>
        <w:tc>
          <w:tcPr>
            <w:tcW w:type="dxa" w:w="2160"/>
          </w:tcPr>
          <w:p>
            <w:r>
              <w:t>**Absolute Return**</w:t>
            </w:r>
          </w:p>
        </w:tc>
        <w:tc>
          <w:tcPr>
            <w:tcW w:type="dxa" w:w="2160"/>
          </w:tcPr>
          <w:p>
            <w:r>
              <w:t>**489.46%**</w:t>
            </w:r>
          </w:p>
        </w:tc>
        <w:tc>
          <w:tcPr>
            <w:tcW w:type="dxa" w:w="2160"/>
          </w:tcPr>
          <w:p>
            <w:r>
              <w:t>106.02%</w:t>
            </w:r>
          </w:p>
        </w:tc>
        <w:tc>
          <w:tcPr>
            <w:tcW w:type="dxa" w:w="2160"/>
          </w:tcPr>
          <w:p>
            <w:r>
              <w:t>**+383.44%**</w:t>
            </w:r>
          </w:p>
        </w:tc>
      </w:tr>
      <w:tr>
        <w:tc>
          <w:tcPr>
            <w:tcW w:type="dxa" w:w="2160"/>
          </w:tcPr>
          <w:p>
            <w:r>
              <w:t>**CAGR (Annualized)**</w:t>
            </w:r>
          </w:p>
        </w:tc>
        <w:tc>
          <w:tcPr>
            <w:tcW w:type="dxa" w:w="2160"/>
          </w:tcPr>
          <w:p>
            <w:r>
              <w:t>**22.54%**</w:t>
            </w:r>
          </w:p>
        </w:tc>
        <w:tc>
          <w:tcPr>
            <w:tcW w:type="dxa" w:w="2160"/>
          </w:tcPr>
          <w:p>
            <w:r>
              <w:t>8.63%</w:t>
            </w:r>
          </w:p>
        </w:tc>
        <w:tc>
          <w:tcPr>
            <w:tcW w:type="dxa" w:w="2160"/>
          </w:tcPr>
          <w:p>
            <w:r>
              <w:t>**+13.91%**</w:t>
            </w:r>
          </w:p>
        </w:tc>
      </w:tr>
      <w:tr>
        <w:tc>
          <w:tcPr>
            <w:tcW w:type="dxa" w:w="2160"/>
          </w:tcPr>
          <w:p>
            <w:r>
              <w:t>**Max Drawdown**</w:t>
            </w:r>
          </w:p>
        </w:tc>
        <w:tc>
          <w:tcPr>
            <w:tcW w:type="dxa" w:w="2160"/>
          </w:tcPr>
          <w:p>
            <w:r>
              <w:t>**-41.09%**</w:t>
            </w:r>
          </w:p>
        </w:tc>
        <w:tc>
          <w:tcPr>
            <w:tcW w:type="dxa" w:w="2160"/>
          </w:tcPr>
          <w:p>
            <w:r>
              <w:t>-64.00%</w:t>
            </w:r>
          </w:p>
        </w:tc>
        <w:tc>
          <w:tcPr>
            <w:tcW w:type="dxa" w:w="2160"/>
          </w:tcPr>
          <w:p>
            <w:r>
              <w:t>**Superior Protection**</w:t>
            </w:r>
          </w:p>
        </w:tc>
      </w:tr>
      <w:tr>
        <w:tc>
          <w:tcPr>
            <w:tcW w:type="dxa" w:w="2160"/>
          </w:tcPr>
          <w:p>
            <w:r>
              <w:t>**Sharpe Ratio**</w:t>
            </w:r>
          </w:p>
        </w:tc>
        <w:tc>
          <w:tcPr>
            <w:tcW w:type="dxa" w:w="2160"/>
          </w:tcPr>
          <w:p>
            <w:r>
              <w:t>**0.85**</w:t>
            </w:r>
          </w:p>
        </w:tc>
        <w:tc>
          <w:tcPr>
            <w:tcW w:type="dxa" w:w="2160"/>
          </w:tcPr>
          <w:p>
            <w:r>
              <w:t>0.23</w:t>
            </w:r>
          </w:p>
        </w:tc>
        <w:tc>
          <w:tcPr>
            <w:tcW w:type="dxa" w:w="2160"/>
          </w:tcPr>
          <w:p>
            <w:r>
              <w:t>**3.7x Risk-Reward**</w:t>
            </w:r>
          </w:p>
        </w:tc>
      </w:tr>
    </w:tbl>
    <w:p>
      <w:pPr>
        <w:pStyle w:val="Heading2"/>
      </w:pPr>
      <w:r>
        <w:t>2. Investment Strategy &amp; Rules</w:t>
      </w:r>
    </w:p>
    <w:p>
      <w:pPr>
        <w:pStyle w:val="Heading3"/>
      </w:pPr>
      <w:r>
        <w:t>Comparison Benchmark</w:t>
      </w:r>
    </w:p>
    <w:p>
      <w:r>
        <w:t>- **Benchmark**: Nifty Top 1000 Equal Weight (Broad Market Proxy)</w:t>
      </w:r>
    </w:p>
    <w:p>
      <w:r>
        <w:t>- **Rationale**: Represents the opportunity cost of a passive, diversified investment in the Indian market.</w:t>
      </w:r>
    </w:p>
    <w:p>
      <w:pPr>
        <w:pStyle w:val="Heading3"/>
      </w:pPr>
      <w:r>
        <w:t>Strategy Logic</w:t>
      </w:r>
    </w:p>
    <w:p>
      <w:r>
        <w:t>The strategy employs a **Contrarian Breadth** approach, seeking industries that have seen significant shareholder exodus (capitulation) but are now showing relative strength (recovery).</w:t>
      </w:r>
    </w:p>
    <w:p>
      <w:r>
        <w:t>**Detailed Rules:**</w:t>
      </w:r>
    </w:p>
    <w:p>
      <w:r>
        <w:t>1.  **Investment Universe**: Top 1000 stocks by Market Quant, filtered for liquidity (&gt;0.005% of Market Cap traded daily).</w:t>
      </w:r>
    </w:p>
    <w:p>
      <w:r>
        <w:t>2.  **Sector Selection (The "Contrarian" Filter)**:</w:t>
      </w:r>
    </w:p>
    <w:p>
      <w:r>
        <w:t>-   Identify **Industry Groups** where shareholders have been decreasing for the last **1 Year (4 Quarters)**.</w:t>
      </w:r>
    </w:p>
    <w:p>
      <w:r>
        <w:t>-   Select the Top 50% of groups with the most widespread shareholder exit.</w:t>
      </w:r>
    </w:p>
    <w:p>
      <w:r>
        <w:t>-   Within those groups, select specific **Industries** where &gt;50% of stocks show shareholder decrease.</w:t>
      </w:r>
    </w:p>
    <w:p>
      <w:r>
        <w:t>3.  **Breadth Confirmation (The "Breadth" Filter)**:</w:t>
      </w:r>
    </w:p>
    <w:p>
      <w:r>
        <w:t>-   Rank these "hated" industries by their **Relative Strength Net Best (RSNP)** score.</w:t>
      </w:r>
    </w:p>
    <w:p>
      <w:r>
        <w:t>-   **RSNP Logic**: % of stocks in the industry outperforming the Top 1000 benchmark over the last month.</w:t>
      </w:r>
    </w:p>
    <w:p>
      <w:r>
        <w:t>-   **Threshold**: Only invest if RSNP &gt; **0.40** (i.e., at least 40% of the industry's stocks are beating the market).</w:t>
      </w:r>
    </w:p>
    <w:p>
      <w:r>
        <w:t>4.  **Portfolio Construction**:</w:t>
      </w:r>
    </w:p>
    <w:p>
      <w:r>
        <w:t>-   **Max Stocks**: 15</w:t>
      </w:r>
    </w:p>
    <w:p>
      <w:r>
        <w:t>-   **Concentration Limit**: Max 3 Stocks per Industry.</w:t>
      </w:r>
    </w:p>
    <w:p>
      <w:r>
        <w:t>-   **Stock Selection**: Largest Market Cap stocks within the qualifying industries.</w:t>
      </w:r>
    </w:p>
    <w:p>
      <w:r>
        <w:t>-   **Weighting**: Equal Weight (rebalanced quarterly).</w:t>
      </w:r>
    </w:p>
    <w:p>
      <w:r>
        <w:t>5.  **Rebalancing**:</w:t>
      </w:r>
    </w:p>
    <w:p>
      <w:r>
        <w:t>-   **Frequency**: Quarterly (mid-Feb, mid-May, mid-Aug, mid-Nov).</w:t>
      </w:r>
    </w:p>
    <w:p>
      <w:pPr>
        <w:pStyle w:val="Heading2"/>
      </w:pPr>
      <w:r>
        <w:t>3. Performance Analysis</w:t>
      </w:r>
    </w:p>
    <w:p>
      <w:pPr>
        <w:pStyle w:val="Heading3"/>
      </w:pPr>
      <w:r>
        <w:t>Cumulative Growth</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performance_chart_quarterly.png"/>
                    <pic:cNvPicPr/>
                  </pic:nvPicPr>
                  <pic:blipFill>
                    <a:blip r:embed="rId9"/>
                    <a:stretch>
                      <a:fillRect/>
                    </a:stretch>
                  </pic:blipFill>
                  <pic:spPr>
                    <a:xfrm>
                      <a:off x="0" y="0"/>
                      <a:ext cx="5486400" cy="3291840"/>
                    </a:xfrm>
                    <a:prstGeom prst="rect"/>
                  </pic:spPr>
                </pic:pic>
              </a:graphicData>
            </a:graphic>
          </wp:inline>
        </w:drawing>
      </w:r>
    </w:p>
    <w:p>
      <w:r>
        <w:t>*The chart illustrates the reliable compounding of the strategy (Blue) vs the Benchmark (Grey). Note the strategy's resilience during the 2020 crash and quicker recovery.*</w:t>
      </w:r>
    </w:p>
    <w:p>
      <w:pPr>
        <w:pStyle w:val="Heading3"/>
      </w:pPr>
      <w:r>
        <w:t>Year-by-Year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Year</w:t>
            </w:r>
          </w:p>
        </w:tc>
        <w:tc>
          <w:tcPr>
            <w:tcW w:type="dxa" w:w="2160"/>
          </w:tcPr>
          <w:p>
            <w:r>
              <w:t>Strategy</w:t>
            </w:r>
          </w:p>
        </w:tc>
        <w:tc>
          <w:tcPr>
            <w:tcW w:type="dxa" w:w="2160"/>
          </w:tcPr>
          <w:p>
            <w:r>
              <w:t>Benchmark</w:t>
            </w:r>
          </w:p>
        </w:tc>
        <w:tc>
          <w:tcPr>
            <w:tcW w:type="dxa" w:w="2160"/>
          </w:tcPr>
          <w:p>
            <w:r>
              <w:t>Alpha</w:t>
            </w:r>
          </w:p>
        </w:tc>
      </w:tr>
      <w:tr>
        <w:tc>
          <w:tcPr>
            <w:tcW w:type="dxa" w:w="2160"/>
          </w:tcPr>
          <w:p>
            <w:r>
              <w:t>**2017**</w:t>
            </w:r>
          </w:p>
        </w:tc>
        <w:tc>
          <w:tcPr>
            <w:tcW w:type="dxa" w:w="2160"/>
          </w:tcPr>
          <w:p>
            <w:r>
              <w:t>39.0%</w:t>
            </w:r>
          </w:p>
        </w:tc>
        <w:tc>
          <w:tcPr>
            <w:tcW w:type="dxa" w:w="2160"/>
          </w:tcPr>
          <w:p>
            <w:r>
              <w:t>23.6%</w:t>
            </w:r>
          </w:p>
        </w:tc>
        <w:tc>
          <w:tcPr>
            <w:tcW w:type="dxa" w:w="2160"/>
          </w:tcPr>
          <w:p>
            <w:r>
              <w:t>15.5% ✅</w:t>
            </w:r>
          </w:p>
        </w:tc>
      </w:tr>
      <w:tr>
        <w:tc>
          <w:tcPr>
            <w:tcW w:type="dxa" w:w="2160"/>
          </w:tcPr>
          <w:p>
            <w:r>
              <w:t>**2018**</w:t>
            </w:r>
          </w:p>
        </w:tc>
        <w:tc>
          <w:tcPr>
            <w:tcW w:type="dxa" w:w="2160"/>
          </w:tcPr>
          <w:p>
            <w:r>
              <w:t>-28.1%</w:t>
            </w:r>
          </w:p>
        </w:tc>
        <w:tc>
          <w:tcPr>
            <w:tcW w:type="dxa" w:w="2160"/>
          </w:tcPr>
          <w:p>
            <w:r>
              <w:t>-29.6%</w:t>
            </w:r>
          </w:p>
        </w:tc>
        <w:tc>
          <w:tcPr>
            <w:tcW w:type="dxa" w:w="2160"/>
          </w:tcPr>
          <w:p>
            <w:r>
              <w:t>1.5% ✅</w:t>
            </w:r>
          </w:p>
        </w:tc>
      </w:tr>
      <w:tr>
        <w:tc>
          <w:tcPr>
            <w:tcW w:type="dxa" w:w="2160"/>
          </w:tcPr>
          <w:p>
            <w:r>
              <w:t>**2019**</w:t>
            </w:r>
          </w:p>
        </w:tc>
        <w:tc>
          <w:tcPr>
            <w:tcW w:type="dxa" w:w="2160"/>
          </w:tcPr>
          <w:p>
            <w:r>
              <w:t>13.5%</w:t>
            </w:r>
          </w:p>
        </w:tc>
        <w:tc>
          <w:tcPr>
            <w:tcW w:type="dxa" w:w="2160"/>
          </w:tcPr>
          <w:p>
            <w:r>
              <w:t>-15.7%</w:t>
            </w:r>
          </w:p>
        </w:tc>
        <w:tc>
          <w:tcPr>
            <w:tcW w:type="dxa" w:w="2160"/>
          </w:tcPr>
          <w:p>
            <w:r>
              <w:t>29.2% ✅</w:t>
            </w:r>
          </w:p>
        </w:tc>
      </w:tr>
      <w:tr>
        <w:tc>
          <w:tcPr>
            <w:tcW w:type="dxa" w:w="2160"/>
          </w:tcPr>
          <w:p>
            <w:r>
              <w:t>**2020**</w:t>
            </w:r>
          </w:p>
        </w:tc>
        <w:tc>
          <w:tcPr>
            <w:tcW w:type="dxa" w:w="2160"/>
          </w:tcPr>
          <w:p>
            <w:r>
              <w:t>20.0%</w:t>
            </w:r>
          </w:p>
        </w:tc>
        <w:tc>
          <w:tcPr>
            <w:tcW w:type="dxa" w:w="2160"/>
          </w:tcPr>
          <w:p>
            <w:r>
              <w:t>33.6%</w:t>
            </w:r>
          </w:p>
        </w:tc>
        <w:tc>
          <w:tcPr>
            <w:tcW w:type="dxa" w:w="2160"/>
          </w:tcPr>
          <w:p>
            <w:r>
              <w:t>-13.6% 🔻</w:t>
            </w:r>
          </w:p>
        </w:tc>
      </w:tr>
      <w:tr>
        <w:tc>
          <w:tcPr>
            <w:tcW w:type="dxa" w:w="2160"/>
          </w:tcPr>
          <w:p>
            <w:r>
              <w:t>**2021**</w:t>
            </w:r>
          </w:p>
        </w:tc>
        <w:tc>
          <w:tcPr>
            <w:tcW w:type="dxa" w:w="2160"/>
          </w:tcPr>
          <w:p>
            <w:r>
              <w:t>82.1%</w:t>
            </w:r>
          </w:p>
        </w:tc>
        <w:tc>
          <w:tcPr>
            <w:tcW w:type="dxa" w:w="2160"/>
          </w:tcPr>
          <w:p>
            <w:r>
              <w:t>51.9%</w:t>
            </w:r>
          </w:p>
        </w:tc>
        <w:tc>
          <w:tcPr>
            <w:tcW w:type="dxa" w:w="2160"/>
          </w:tcPr>
          <w:p>
            <w:r>
              <w:t>30.2% ✅</w:t>
            </w:r>
          </w:p>
        </w:tc>
      </w:tr>
      <w:tr>
        <w:tc>
          <w:tcPr>
            <w:tcW w:type="dxa" w:w="2160"/>
          </w:tcPr>
          <w:p>
            <w:r>
              <w:t>**2022**</w:t>
            </w:r>
          </w:p>
        </w:tc>
        <w:tc>
          <w:tcPr>
            <w:tcW w:type="dxa" w:w="2160"/>
          </w:tcPr>
          <w:p>
            <w:r>
              <w:t>17.7%</w:t>
            </w:r>
          </w:p>
        </w:tc>
        <w:tc>
          <w:tcPr>
            <w:tcW w:type="dxa" w:w="2160"/>
          </w:tcPr>
          <w:p>
            <w:r>
              <w:t>-2.5%</w:t>
            </w:r>
          </w:p>
        </w:tc>
        <w:tc>
          <w:tcPr>
            <w:tcW w:type="dxa" w:w="2160"/>
          </w:tcPr>
          <w:p>
            <w:r>
              <w:t>20.2% ✅</w:t>
            </w:r>
          </w:p>
        </w:tc>
      </w:tr>
      <w:tr>
        <w:tc>
          <w:tcPr>
            <w:tcW w:type="dxa" w:w="2160"/>
          </w:tcPr>
          <w:p>
            <w:r>
              <w:t>**2023**</w:t>
            </w:r>
          </w:p>
        </w:tc>
        <w:tc>
          <w:tcPr>
            <w:tcW w:type="dxa" w:w="2160"/>
          </w:tcPr>
          <w:p>
            <w:r>
              <w:t>76.0%</w:t>
            </w:r>
          </w:p>
        </w:tc>
        <w:tc>
          <w:tcPr>
            <w:tcW w:type="dxa" w:w="2160"/>
          </w:tcPr>
          <w:p>
            <w:r>
              <w:t>36.0%</w:t>
            </w:r>
          </w:p>
        </w:tc>
        <w:tc>
          <w:tcPr>
            <w:tcW w:type="dxa" w:w="2160"/>
          </w:tcPr>
          <w:p>
            <w:r>
              <w:t>39.9% ✅</w:t>
            </w:r>
          </w:p>
        </w:tc>
      </w:tr>
      <w:tr>
        <w:tc>
          <w:tcPr>
            <w:tcW w:type="dxa" w:w="2160"/>
          </w:tcPr>
          <w:p>
            <w:r>
              <w:t>**2024**</w:t>
            </w:r>
          </w:p>
        </w:tc>
        <w:tc>
          <w:tcPr>
            <w:tcW w:type="dxa" w:w="2160"/>
          </w:tcPr>
          <w:p>
            <w:r>
              <w:t>26.7%</w:t>
            </w:r>
          </w:p>
        </w:tc>
        <w:tc>
          <w:tcPr>
            <w:tcW w:type="dxa" w:w="2160"/>
          </w:tcPr>
          <w:p>
            <w:r>
              <w:t>14.0%</w:t>
            </w:r>
          </w:p>
        </w:tc>
        <w:tc>
          <w:tcPr>
            <w:tcW w:type="dxa" w:w="2160"/>
          </w:tcPr>
          <w:p>
            <w:r>
              <w:t>12.7% ✅</w:t>
            </w:r>
          </w:p>
        </w:tc>
      </w:tr>
      <w:tr>
        <w:tc>
          <w:tcPr>
            <w:tcW w:type="dxa" w:w="2160"/>
          </w:tcPr>
          <w:p>
            <w:r>
              <w:t>**2025**</w:t>
            </w:r>
          </w:p>
        </w:tc>
        <w:tc>
          <w:tcPr>
            <w:tcW w:type="dxa" w:w="2160"/>
          </w:tcPr>
          <w:p>
            <w:r>
              <w:t>-8.3%</w:t>
            </w:r>
          </w:p>
        </w:tc>
        <w:tc>
          <w:tcPr>
            <w:tcW w:type="dxa" w:w="2160"/>
          </w:tcPr>
          <w:p>
            <w:r>
              <w:t>-5.8%</w:t>
            </w:r>
          </w:p>
        </w:tc>
        <w:tc>
          <w:tcPr>
            <w:tcW w:type="dxa" w:w="2160"/>
          </w:tcPr>
          <w:p>
            <w:r>
              <w:t>-2.5% 🔻</w:t>
            </w:r>
          </w:p>
        </w:tc>
      </w:tr>
      <w:tr>
        <w:tc>
          <w:tcPr>
            <w:tcW w:type="dxa" w:w="2160"/>
          </w:tcPr>
          <w:p>
            <w:r>
              <w:t>**2026**</w:t>
            </w:r>
          </w:p>
        </w:tc>
        <w:tc>
          <w:tcPr>
            <w:tcW w:type="dxa" w:w="2160"/>
          </w:tcPr>
          <w:p>
            <w:r>
              <w:t>-0.3%</w:t>
            </w:r>
          </w:p>
        </w:tc>
        <w:tc>
          <w:tcPr>
            <w:tcW w:type="dxa" w:w="2160"/>
          </w:tcPr>
          <w:p>
            <w:r>
              <w:t>-6.7%</w:t>
            </w:r>
          </w:p>
        </w:tc>
        <w:tc>
          <w:tcPr>
            <w:tcW w:type="dxa" w:w="2160"/>
          </w:tcPr>
          <w:p>
            <w:r>
              <w:t>6.5% ✅</w:t>
            </w:r>
          </w:p>
        </w:tc>
      </w:tr>
    </w:tbl>
    <w:p>
      <w:pPr>
        <w:pStyle w:val="Heading3"/>
      </w:pPr>
      <w:r>
        <w:t>Periodicity Analysis (Rebalance-to-Rebalance)</w:t>
      </w:r>
    </w:p>
    <w:p>
      <w:r>
        <w:t>This section analyzes the strategy's consistency over its quarterly trading periods.</w:t>
      </w:r>
    </w:p>
    <w:p>
      <w:r>
        <w:t>- **Total Periods**: 35</w:t>
      </w:r>
    </w:p>
    <w:p>
      <w:r>
        <w:t>- **Periods Outperforming Benchmark**: 26 (74.3%)</w:t>
      </w:r>
    </w:p>
    <w:p>
      <w:r>
        <w:t>- **Periods Underperforming**: 9</w:t>
      </w:r>
    </w:p>
    <w:p>
      <w:r>
        <w:t>**Detailed Period Returns**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Period</w:t>
            </w:r>
          </w:p>
        </w:tc>
        <w:tc>
          <w:tcPr>
            <w:tcW w:type="dxa" w:w="2160"/>
          </w:tcPr>
          <w:p>
            <w:r>
              <w:t>Strategy</w:t>
            </w:r>
          </w:p>
        </w:tc>
        <w:tc>
          <w:tcPr>
            <w:tcW w:type="dxa" w:w="2160"/>
          </w:tcPr>
          <w:p>
            <w:r>
              <w:t>Benchmark</w:t>
            </w:r>
          </w:p>
        </w:tc>
        <w:tc>
          <w:tcPr>
            <w:tcW w:type="dxa" w:w="2160"/>
          </w:tcPr>
          <w:p>
            <w:r>
              <w:t>Alpha</w:t>
            </w:r>
          </w:p>
        </w:tc>
      </w:tr>
      <w:tr>
        <w:tc>
          <w:tcPr>
            <w:tcW w:type="dxa" w:w="2160"/>
          </w:tcPr>
          <w:p>
            <w:r>
              <w:t>2017-05 to 2017-08</w:t>
            </w:r>
          </w:p>
        </w:tc>
        <w:tc>
          <w:tcPr>
            <w:tcW w:type="dxa" w:w="2160"/>
          </w:tcPr>
          <w:p>
            <w:r>
              <w:t>**8.32%**</w:t>
            </w:r>
          </w:p>
        </w:tc>
        <w:tc>
          <w:tcPr>
            <w:tcW w:type="dxa" w:w="2160"/>
          </w:tcPr>
          <w:p>
            <w:r>
              <w:t>-1.60%</w:t>
            </w:r>
          </w:p>
        </w:tc>
        <w:tc>
          <w:tcPr>
            <w:tcW w:type="dxa" w:w="2160"/>
          </w:tcPr>
          <w:p>
            <w:r>
              <w:t>9.92%</w:t>
            </w:r>
          </w:p>
        </w:tc>
      </w:tr>
      <w:tr>
        <w:tc>
          <w:tcPr>
            <w:tcW w:type="dxa" w:w="2160"/>
          </w:tcPr>
          <w:p>
            <w:r>
              <w:t>2017-08 to 2017-11</w:t>
            </w:r>
          </w:p>
        </w:tc>
        <w:tc>
          <w:tcPr>
            <w:tcW w:type="dxa" w:w="2160"/>
          </w:tcPr>
          <w:p>
            <w:r>
              <w:t>**15.22%**</w:t>
            </w:r>
          </w:p>
        </w:tc>
        <w:tc>
          <w:tcPr>
            <w:tcW w:type="dxa" w:w="2160"/>
          </w:tcPr>
          <w:p>
            <w:r>
              <w:t>10.15%</w:t>
            </w:r>
          </w:p>
        </w:tc>
        <w:tc>
          <w:tcPr>
            <w:tcW w:type="dxa" w:w="2160"/>
          </w:tcPr>
          <w:p>
            <w:r>
              <w:t>5.07%</w:t>
            </w:r>
          </w:p>
        </w:tc>
      </w:tr>
      <w:tr>
        <w:tc>
          <w:tcPr>
            <w:tcW w:type="dxa" w:w="2160"/>
          </w:tcPr>
          <w:p>
            <w:r>
              <w:t>2017-11 to 2018-02</w:t>
            </w:r>
          </w:p>
        </w:tc>
        <w:tc>
          <w:tcPr>
            <w:tcW w:type="dxa" w:w="2160"/>
          </w:tcPr>
          <w:p>
            <w:r>
              <w:t>**12.83%**</w:t>
            </w:r>
          </w:p>
        </w:tc>
        <w:tc>
          <w:tcPr>
            <w:tcW w:type="dxa" w:w="2160"/>
          </w:tcPr>
          <w:p>
            <w:r>
              <w:t>9.30%</w:t>
            </w:r>
          </w:p>
        </w:tc>
        <w:tc>
          <w:tcPr>
            <w:tcW w:type="dxa" w:w="2160"/>
          </w:tcPr>
          <w:p>
            <w:r>
              <w:t>3.53%</w:t>
            </w:r>
          </w:p>
        </w:tc>
      </w:tr>
      <w:tr>
        <w:tc>
          <w:tcPr>
            <w:tcW w:type="dxa" w:w="2160"/>
          </w:tcPr>
          <w:p>
            <w:r>
              <w:t>2018-02 to 2018-05</w:t>
            </w:r>
          </w:p>
        </w:tc>
        <w:tc>
          <w:tcPr>
            <w:tcW w:type="dxa" w:w="2160"/>
          </w:tcPr>
          <w:p>
            <w:r>
              <w:t>-17.70%</w:t>
            </w:r>
          </w:p>
        </w:tc>
        <w:tc>
          <w:tcPr>
            <w:tcW w:type="dxa" w:w="2160"/>
          </w:tcPr>
          <w:p>
            <w:r>
              <w:t>-9.80%</w:t>
            </w:r>
          </w:p>
        </w:tc>
        <w:tc>
          <w:tcPr>
            <w:tcW w:type="dxa" w:w="2160"/>
          </w:tcPr>
          <w:p>
            <w:r>
              <w:t>-7.90%</w:t>
            </w:r>
          </w:p>
        </w:tc>
      </w:tr>
      <w:tr>
        <w:tc>
          <w:tcPr>
            <w:tcW w:type="dxa" w:w="2160"/>
          </w:tcPr>
          <w:p>
            <w:r>
              <w:t>2018-05 to 2018-08</w:t>
            </w:r>
          </w:p>
        </w:tc>
        <w:tc>
          <w:tcPr>
            <w:tcW w:type="dxa" w:w="2160"/>
          </w:tcPr>
          <w:p>
            <w:r>
              <w:t>**-7.22%**</w:t>
            </w:r>
          </w:p>
        </w:tc>
        <w:tc>
          <w:tcPr>
            <w:tcW w:type="dxa" w:w="2160"/>
          </w:tcPr>
          <w:p>
            <w:r>
              <w:t>-7.60%</w:t>
            </w:r>
          </w:p>
        </w:tc>
        <w:tc>
          <w:tcPr>
            <w:tcW w:type="dxa" w:w="2160"/>
          </w:tcPr>
          <w:p>
            <w:r>
              <w:t>0.38%</w:t>
            </w:r>
          </w:p>
        </w:tc>
      </w:tr>
      <w:tr>
        <w:tc>
          <w:tcPr>
            <w:tcW w:type="dxa" w:w="2160"/>
          </w:tcPr>
          <w:p>
            <w:r>
              <w:t>2018-08 to 2018-11</w:t>
            </w:r>
          </w:p>
        </w:tc>
        <w:tc>
          <w:tcPr>
            <w:tcW w:type="dxa" w:w="2160"/>
          </w:tcPr>
          <w:p>
            <w:r>
              <w:t>**-2.84%**</w:t>
            </w:r>
          </w:p>
        </w:tc>
        <w:tc>
          <w:tcPr>
            <w:tcW w:type="dxa" w:w="2160"/>
          </w:tcPr>
          <w:p>
            <w:r>
              <w:t>-11.41%</w:t>
            </w:r>
          </w:p>
        </w:tc>
        <w:tc>
          <w:tcPr>
            <w:tcW w:type="dxa" w:w="2160"/>
          </w:tcPr>
          <w:p>
            <w:r>
              <w:t>8.57%</w:t>
            </w:r>
          </w:p>
        </w:tc>
      </w:tr>
      <w:tr>
        <w:tc>
          <w:tcPr>
            <w:tcW w:type="dxa" w:w="2160"/>
          </w:tcPr>
          <w:p>
            <w:r>
              <w:t>2018-11 to 2019-02</w:t>
            </w:r>
          </w:p>
        </w:tc>
        <w:tc>
          <w:tcPr>
            <w:tcW w:type="dxa" w:w="2160"/>
          </w:tcPr>
          <w:p>
            <w:r>
              <w:t>**-8.52%**</w:t>
            </w:r>
          </w:p>
        </w:tc>
        <w:tc>
          <w:tcPr>
            <w:tcW w:type="dxa" w:w="2160"/>
          </w:tcPr>
          <w:p>
            <w:r>
              <w:t>-12.91%</w:t>
            </w:r>
          </w:p>
        </w:tc>
        <w:tc>
          <w:tcPr>
            <w:tcW w:type="dxa" w:w="2160"/>
          </w:tcPr>
          <w:p>
            <w:r>
              <w:t>4.39%</w:t>
            </w:r>
          </w:p>
        </w:tc>
      </w:tr>
      <w:tr>
        <w:tc>
          <w:tcPr>
            <w:tcW w:type="dxa" w:w="2160"/>
          </w:tcPr>
          <w:p>
            <w:r>
              <w:t>2019-02 to 2019-05</w:t>
            </w:r>
          </w:p>
        </w:tc>
        <w:tc>
          <w:tcPr>
            <w:tcW w:type="dxa" w:w="2160"/>
          </w:tcPr>
          <w:p>
            <w:r>
              <w:t>**4.21%**</w:t>
            </w:r>
          </w:p>
        </w:tc>
        <w:tc>
          <w:tcPr>
            <w:tcW w:type="dxa" w:w="2160"/>
          </w:tcPr>
          <w:p>
            <w:r>
              <w:t>2.50%</w:t>
            </w:r>
          </w:p>
        </w:tc>
        <w:tc>
          <w:tcPr>
            <w:tcW w:type="dxa" w:w="2160"/>
          </w:tcPr>
          <w:p>
            <w:r>
              <w:t>1.71%</w:t>
            </w:r>
          </w:p>
        </w:tc>
      </w:tr>
      <w:tr>
        <w:tc>
          <w:tcPr>
            <w:tcW w:type="dxa" w:w="2160"/>
          </w:tcPr>
          <w:p>
            <w:r>
              <w:t>2019-05 to 2019-08</w:t>
            </w:r>
          </w:p>
        </w:tc>
        <w:tc>
          <w:tcPr>
            <w:tcW w:type="dxa" w:w="2160"/>
          </w:tcPr>
          <w:p>
            <w:r>
              <w:t>**-1.02%**</w:t>
            </w:r>
          </w:p>
        </w:tc>
        <w:tc>
          <w:tcPr>
            <w:tcW w:type="dxa" w:w="2160"/>
          </w:tcPr>
          <w:p>
            <w:r>
              <w:t>-10.92%</w:t>
            </w:r>
          </w:p>
        </w:tc>
        <w:tc>
          <w:tcPr>
            <w:tcW w:type="dxa" w:w="2160"/>
          </w:tcPr>
          <w:p>
            <w:r>
              <w:t>9.90%</w:t>
            </w:r>
          </w:p>
        </w:tc>
      </w:tr>
      <w:tr>
        <w:tc>
          <w:tcPr>
            <w:tcW w:type="dxa" w:w="2160"/>
          </w:tcPr>
          <w:p>
            <w:r>
              <w:t>2019-08 to 2019-11</w:t>
            </w:r>
          </w:p>
        </w:tc>
        <w:tc>
          <w:tcPr>
            <w:tcW w:type="dxa" w:w="2160"/>
          </w:tcPr>
          <w:p>
            <w:r>
              <w:t>**19.09%**</w:t>
            </w:r>
          </w:p>
        </w:tc>
        <w:tc>
          <w:tcPr>
            <w:tcW w:type="dxa" w:w="2160"/>
          </w:tcPr>
          <w:p>
            <w:r>
              <w:t>4.90%</w:t>
            </w:r>
          </w:p>
        </w:tc>
        <w:tc>
          <w:tcPr>
            <w:tcW w:type="dxa" w:w="2160"/>
          </w:tcPr>
          <w:p>
            <w:r>
              <w:t>14.19%</w:t>
            </w:r>
          </w:p>
        </w:tc>
      </w:tr>
      <w:tr>
        <w:tc>
          <w:tcPr>
            <w:tcW w:type="dxa" w:w="2160"/>
          </w:tcPr>
          <w:p>
            <w:r>
              <w:t>2019-11 to 2020-02</w:t>
            </w:r>
          </w:p>
        </w:tc>
        <w:tc>
          <w:tcPr>
            <w:tcW w:type="dxa" w:w="2160"/>
          </w:tcPr>
          <w:p>
            <w:r>
              <w:t>**5.96%**</w:t>
            </w:r>
          </w:p>
        </w:tc>
        <w:tc>
          <w:tcPr>
            <w:tcW w:type="dxa" w:w="2160"/>
          </w:tcPr>
          <w:p>
            <w:r>
              <w:t>5.38%</w:t>
            </w:r>
          </w:p>
        </w:tc>
        <w:tc>
          <w:tcPr>
            <w:tcW w:type="dxa" w:w="2160"/>
          </w:tcPr>
          <w:p>
            <w:r>
              <w:t>0.58%</w:t>
            </w:r>
          </w:p>
        </w:tc>
      </w:tr>
      <w:tr>
        <w:tc>
          <w:tcPr>
            <w:tcW w:type="dxa" w:w="2160"/>
          </w:tcPr>
          <w:p>
            <w:r>
              <w:t>2020-02 to 2020-05</w:t>
            </w:r>
          </w:p>
        </w:tc>
        <w:tc>
          <w:tcPr>
            <w:tcW w:type="dxa" w:w="2160"/>
          </w:tcPr>
          <w:p>
            <w:r>
              <w:t>**-26.01%**</w:t>
            </w:r>
          </w:p>
        </w:tc>
        <w:tc>
          <w:tcPr>
            <w:tcW w:type="dxa" w:w="2160"/>
          </w:tcPr>
          <w:p>
            <w:r>
              <w:t>-27.45%</w:t>
            </w:r>
          </w:p>
        </w:tc>
        <w:tc>
          <w:tcPr>
            <w:tcW w:type="dxa" w:w="2160"/>
          </w:tcPr>
          <w:p>
            <w:r>
              <w:t>1.44%</w:t>
            </w:r>
          </w:p>
        </w:tc>
      </w:tr>
      <w:tr>
        <w:tc>
          <w:tcPr>
            <w:tcW w:type="dxa" w:w="2160"/>
          </w:tcPr>
          <w:p>
            <w:r>
              <w:t>2020-05 to 2020-08</w:t>
            </w:r>
          </w:p>
        </w:tc>
        <w:tc>
          <w:tcPr>
            <w:tcW w:type="dxa" w:w="2160"/>
          </w:tcPr>
          <w:p>
            <w:r>
              <w:t>26.94%</w:t>
            </w:r>
          </w:p>
        </w:tc>
        <w:tc>
          <w:tcPr>
            <w:tcW w:type="dxa" w:w="2160"/>
          </w:tcPr>
          <w:p>
            <w:r>
              <w:t>33.15%</w:t>
            </w:r>
          </w:p>
        </w:tc>
        <w:tc>
          <w:tcPr>
            <w:tcW w:type="dxa" w:w="2160"/>
          </w:tcPr>
          <w:p>
            <w:r>
              <w:t>-6.21%</w:t>
            </w:r>
          </w:p>
        </w:tc>
      </w:tr>
      <w:tr>
        <w:tc>
          <w:tcPr>
            <w:tcW w:type="dxa" w:w="2160"/>
          </w:tcPr>
          <w:p>
            <w:r>
              <w:t>2020-08 to 2020-11</w:t>
            </w:r>
          </w:p>
        </w:tc>
        <w:tc>
          <w:tcPr>
            <w:tcW w:type="dxa" w:w="2160"/>
          </w:tcPr>
          <w:p>
            <w:r>
              <w:t>3.82%</w:t>
            </w:r>
          </w:p>
        </w:tc>
        <w:tc>
          <w:tcPr>
            <w:tcW w:type="dxa" w:w="2160"/>
          </w:tcPr>
          <w:p>
            <w:r>
              <w:t>15.67%</w:t>
            </w:r>
          </w:p>
        </w:tc>
        <w:tc>
          <w:tcPr>
            <w:tcW w:type="dxa" w:w="2160"/>
          </w:tcPr>
          <w:p>
            <w:r>
              <w:t>-11.85%</w:t>
            </w:r>
          </w:p>
        </w:tc>
      </w:tr>
      <w:tr>
        <w:tc>
          <w:tcPr>
            <w:tcW w:type="dxa" w:w="2160"/>
          </w:tcPr>
          <w:p>
            <w:r>
              <w:t>2020-11 to 2021-02</w:t>
            </w:r>
          </w:p>
        </w:tc>
        <w:tc>
          <w:tcPr>
            <w:tcW w:type="dxa" w:w="2160"/>
          </w:tcPr>
          <w:p>
            <w:r>
              <w:t>**27.97%**</w:t>
            </w:r>
          </w:p>
        </w:tc>
        <w:tc>
          <w:tcPr>
            <w:tcW w:type="dxa" w:w="2160"/>
          </w:tcPr>
          <w:p>
            <w:r>
              <w:t>22.13%</w:t>
            </w:r>
          </w:p>
        </w:tc>
        <w:tc>
          <w:tcPr>
            <w:tcW w:type="dxa" w:w="2160"/>
          </w:tcPr>
          <w:p>
            <w:r>
              <w:t>5.84%</w:t>
            </w:r>
          </w:p>
        </w:tc>
      </w:tr>
      <w:tr>
        <w:tc>
          <w:tcPr>
            <w:tcW w:type="dxa" w:w="2160"/>
          </w:tcPr>
          <w:p>
            <w:r>
              <w:t>2021-02 to 2021-05</w:t>
            </w:r>
          </w:p>
        </w:tc>
        <w:tc>
          <w:tcPr>
            <w:tcW w:type="dxa" w:w="2160"/>
          </w:tcPr>
          <w:p>
            <w:r>
              <w:t>**29.97%**</w:t>
            </w:r>
          </w:p>
        </w:tc>
        <w:tc>
          <w:tcPr>
            <w:tcW w:type="dxa" w:w="2160"/>
          </w:tcPr>
          <w:p>
            <w:r>
              <w:t>11.90%</w:t>
            </w:r>
          </w:p>
        </w:tc>
        <w:tc>
          <w:tcPr>
            <w:tcW w:type="dxa" w:w="2160"/>
          </w:tcPr>
          <w:p>
            <w:r>
              <w:t>18.07%</w:t>
            </w:r>
          </w:p>
        </w:tc>
      </w:tr>
      <w:tr>
        <w:tc>
          <w:tcPr>
            <w:tcW w:type="dxa" w:w="2160"/>
          </w:tcPr>
          <w:p>
            <w:r>
              <w:t>2021-05 to 2021-08</w:t>
            </w:r>
          </w:p>
        </w:tc>
        <w:tc>
          <w:tcPr>
            <w:tcW w:type="dxa" w:w="2160"/>
          </w:tcPr>
          <w:p>
            <w:r>
              <w:t>**29.42%**</w:t>
            </w:r>
          </w:p>
        </w:tc>
        <w:tc>
          <w:tcPr>
            <w:tcW w:type="dxa" w:w="2160"/>
          </w:tcPr>
          <w:p>
            <w:r>
              <w:t>22.49%</w:t>
            </w:r>
          </w:p>
        </w:tc>
        <w:tc>
          <w:tcPr>
            <w:tcW w:type="dxa" w:w="2160"/>
          </w:tcPr>
          <w:p>
            <w:r>
              <w:t>6.93%</w:t>
            </w:r>
          </w:p>
        </w:tc>
      </w:tr>
      <w:tr>
        <w:tc>
          <w:tcPr>
            <w:tcW w:type="dxa" w:w="2160"/>
          </w:tcPr>
          <w:p>
            <w:r>
              <w:t>2021-08 to 2021-11</w:t>
            </w:r>
          </w:p>
        </w:tc>
        <w:tc>
          <w:tcPr>
            <w:tcW w:type="dxa" w:w="2160"/>
          </w:tcPr>
          <w:p>
            <w:r>
              <w:t>2.45%</w:t>
            </w:r>
          </w:p>
        </w:tc>
        <w:tc>
          <w:tcPr>
            <w:tcW w:type="dxa" w:w="2160"/>
          </w:tcPr>
          <w:p>
            <w:r>
              <w:t>6.70%</w:t>
            </w:r>
          </w:p>
        </w:tc>
        <w:tc>
          <w:tcPr>
            <w:tcW w:type="dxa" w:w="2160"/>
          </w:tcPr>
          <w:p>
            <w:r>
              <w:t>-4.25%</w:t>
            </w:r>
          </w:p>
        </w:tc>
      </w:tr>
      <w:tr>
        <w:tc>
          <w:tcPr>
            <w:tcW w:type="dxa" w:w="2160"/>
          </w:tcPr>
          <w:p>
            <w:r>
              <w:t>2021-11 to 2022-02</w:t>
            </w:r>
          </w:p>
        </w:tc>
        <w:tc>
          <w:tcPr>
            <w:tcW w:type="dxa" w:w="2160"/>
          </w:tcPr>
          <w:p>
            <w:r>
              <w:t>-6.53%</w:t>
            </w:r>
          </w:p>
        </w:tc>
        <w:tc>
          <w:tcPr>
            <w:tcW w:type="dxa" w:w="2160"/>
          </w:tcPr>
          <w:p>
            <w:r>
              <w:t>-4.55%</w:t>
            </w:r>
          </w:p>
        </w:tc>
        <w:tc>
          <w:tcPr>
            <w:tcW w:type="dxa" w:w="2160"/>
          </w:tcPr>
          <w:p>
            <w:r>
              <w:t>-1.98%</w:t>
            </w:r>
          </w:p>
        </w:tc>
      </w:tr>
      <w:tr>
        <w:tc>
          <w:tcPr>
            <w:tcW w:type="dxa" w:w="2160"/>
          </w:tcPr>
          <w:p>
            <w:r>
              <w:t>2022-02 to 2022-05</w:t>
            </w:r>
          </w:p>
        </w:tc>
        <w:tc>
          <w:tcPr>
            <w:tcW w:type="dxa" w:w="2160"/>
          </w:tcPr>
          <w:p>
            <w:r>
              <w:t>**-3.75%**</w:t>
            </w:r>
          </w:p>
        </w:tc>
        <w:tc>
          <w:tcPr>
            <w:tcW w:type="dxa" w:w="2160"/>
          </w:tcPr>
          <w:p>
            <w:r>
              <w:t>-8.64%</w:t>
            </w:r>
          </w:p>
        </w:tc>
        <w:tc>
          <w:tcPr>
            <w:tcW w:type="dxa" w:w="2160"/>
          </w:tcPr>
          <w:p>
            <w:r>
              <w:t>4.89%</w:t>
            </w:r>
          </w:p>
        </w:tc>
      </w:tr>
      <w:tr>
        <w:tc>
          <w:tcPr>
            <w:tcW w:type="dxa" w:w="2160"/>
          </w:tcPr>
          <w:p>
            <w:r>
              <w:t>2022-05 to 2022-08</w:t>
            </w:r>
          </w:p>
        </w:tc>
        <w:tc>
          <w:tcPr>
            <w:tcW w:type="dxa" w:w="2160"/>
          </w:tcPr>
          <w:p>
            <w:r>
              <w:t>**13.26%**</w:t>
            </w:r>
          </w:p>
        </w:tc>
        <w:tc>
          <w:tcPr>
            <w:tcW w:type="dxa" w:w="2160"/>
          </w:tcPr>
          <w:p>
            <w:r>
              <w:t>8.83%</w:t>
            </w:r>
          </w:p>
        </w:tc>
        <w:tc>
          <w:tcPr>
            <w:tcW w:type="dxa" w:w="2160"/>
          </w:tcPr>
          <w:p>
            <w:r>
              <w:t>4.43%</w:t>
            </w:r>
          </w:p>
        </w:tc>
      </w:tr>
      <w:tr>
        <w:tc>
          <w:tcPr>
            <w:tcW w:type="dxa" w:w="2160"/>
          </w:tcPr>
          <w:p>
            <w:r>
              <w:t>2022-08 to 2022-11</w:t>
            </w:r>
          </w:p>
        </w:tc>
        <w:tc>
          <w:tcPr>
            <w:tcW w:type="dxa" w:w="2160"/>
          </w:tcPr>
          <w:p>
            <w:r>
              <w:t>**3.41%**</w:t>
            </w:r>
          </w:p>
        </w:tc>
        <w:tc>
          <w:tcPr>
            <w:tcW w:type="dxa" w:w="2160"/>
          </w:tcPr>
          <w:p>
            <w:r>
              <w:t>2.36%</w:t>
            </w:r>
          </w:p>
        </w:tc>
        <w:tc>
          <w:tcPr>
            <w:tcW w:type="dxa" w:w="2160"/>
          </w:tcPr>
          <w:p>
            <w:r>
              <w:t>1.05%</w:t>
            </w:r>
          </w:p>
        </w:tc>
      </w:tr>
      <w:tr>
        <w:tc>
          <w:tcPr>
            <w:tcW w:type="dxa" w:w="2160"/>
          </w:tcPr>
          <w:p>
            <w:r>
              <w:t>2022-11 to 2023-02</w:t>
            </w:r>
          </w:p>
        </w:tc>
        <w:tc>
          <w:tcPr>
            <w:tcW w:type="dxa" w:w="2160"/>
          </w:tcPr>
          <w:p>
            <w:r>
              <w:t>**-3.62%**</w:t>
            </w:r>
          </w:p>
        </w:tc>
        <w:tc>
          <w:tcPr>
            <w:tcW w:type="dxa" w:w="2160"/>
          </w:tcPr>
          <w:p>
            <w:r>
              <w:t>-6.96%</w:t>
            </w:r>
          </w:p>
        </w:tc>
        <w:tc>
          <w:tcPr>
            <w:tcW w:type="dxa" w:w="2160"/>
          </w:tcPr>
          <w:p>
            <w:r>
              <w:t>3.34%</w:t>
            </w:r>
          </w:p>
        </w:tc>
      </w:tr>
      <w:tr>
        <w:tc>
          <w:tcPr>
            <w:tcW w:type="dxa" w:w="2160"/>
          </w:tcPr>
          <w:p>
            <w:r>
              <w:t>2023-02 to 2023-05</w:t>
            </w:r>
          </w:p>
        </w:tc>
        <w:tc>
          <w:tcPr>
            <w:tcW w:type="dxa" w:w="2160"/>
          </w:tcPr>
          <w:p>
            <w:r>
              <w:t>**11.02%**</w:t>
            </w:r>
          </w:p>
        </w:tc>
        <w:tc>
          <w:tcPr>
            <w:tcW w:type="dxa" w:w="2160"/>
          </w:tcPr>
          <w:p>
            <w:r>
              <w:t>4.73%</w:t>
            </w:r>
          </w:p>
        </w:tc>
        <w:tc>
          <w:tcPr>
            <w:tcW w:type="dxa" w:w="2160"/>
          </w:tcPr>
          <w:p>
            <w:r>
              <w:t>6.29%</w:t>
            </w:r>
          </w:p>
        </w:tc>
      </w:tr>
      <w:tr>
        <w:tc>
          <w:tcPr>
            <w:tcW w:type="dxa" w:w="2160"/>
          </w:tcPr>
          <w:p>
            <w:r>
              <w:t>2023-05 to 2023-08</w:t>
            </w:r>
          </w:p>
        </w:tc>
        <w:tc>
          <w:tcPr>
            <w:tcW w:type="dxa" w:w="2160"/>
          </w:tcPr>
          <w:p>
            <w:r>
              <w:t>**36.76%**</w:t>
            </w:r>
          </w:p>
        </w:tc>
        <w:tc>
          <w:tcPr>
            <w:tcW w:type="dxa" w:w="2160"/>
          </w:tcPr>
          <w:p>
            <w:r>
              <w:t>16.51%</w:t>
            </w:r>
          </w:p>
        </w:tc>
        <w:tc>
          <w:tcPr>
            <w:tcW w:type="dxa" w:w="2160"/>
          </w:tcPr>
          <w:p>
            <w:r>
              <w:t>20.25%</w:t>
            </w:r>
          </w:p>
        </w:tc>
      </w:tr>
      <w:tr>
        <w:tc>
          <w:tcPr>
            <w:tcW w:type="dxa" w:w="2160"/>
          </w:tcPr>
          <w:p>
            <w:r>
              <w:t>2023-08 to 2023-11</w:t>
            </w:r>
          </w:p>
        </w:tc>
        <w:tc>
          <w:tcPr>
            <w:tcW w:type="dxa" w:w="2160"/>
          </w:tcPr>
          <w:p>
            <w:r>
              <w:t>**11.69%**</w:t>
            </w:r>
          </w:p>
        </w:tc>
        <w:tc>
          <w:tcPr>
            <w:tcW w:type="dxa" w:w="2160"/>
          </w:tcPr>
          <w:p>
            <w:r>
              <w:t>10.77%</w:t>
            </w:r>
          </w:p>
        </w:tc>
        <w:tc>
          <w:tcPr>
            <w:tcW w:type="dxa" w:w="2160"/>
          </w:tcPr>
          <w:p>
            <w:r>
              <w:t>0.92%</w:t>
            </w:r>
          </w:p>
        </w:tc>
      </w:tr>
      <w:tr>
        <w:tc>
          <w:tcPr>
            <w:tcW w:type="dxa" w:w="2160"/>
          </w:tcPr>
          <w:p>
            <w:r>
              <w:t>2023-11 to 2024-02</w:t>
            </w:r>
          </w:p>
        </w:tc>
        <w:tc>
          <w:tcPr>
            <w:tcW w:type="dxa" w:w="2160"/>
          </w:tcPr>
          <w:p>
            <w:r>
              <w:t>11.93%</w:t>
            </w:r>
          </w:p>
        </w:tc>
        <w:tc>
          <w:tcPr>
            <w:tcW w:type="dxa" w:w="2160"/>
          </w:tcPr>
          <w:p>
            <w:r>
              <w:t>13.11%</w:t>
            </w:r>
          </w:p>
        </w:tc>
        <w:tc>
          <w:tcPr>
            <w:tcW w:type="dxa" w:w="2160"/>
          </w:tcPr>
          <w:p>
            <w:r>
              <w:t>-1.18%</w:t>
            </w:r>
          </w:p>
        </w:tc>
      </w:tr>
      <w:tr>
        <w:tc>
          <w:tcPr>
            <w:tcW w:type="dxa" w:w="2160"/>
          </w:tcPr>
          <w:p>
            <w:r>
              <w:t>2024-02 to 2024-05</w:t>
            </w:r>
          </w:p>
        </w:tc>
        <w:tc>
          <w:tcPr>
            <w:tcW w:type="dxa" w:w="2160"/>
          </w:tcPr>
          <w:p>
            <w:r>
              <w:t>**5.75%**</w:t>
            </w:r>
          </w:p>
        </w:tc>
        <w:tc>
          <w:tcPr>
            <w:tcW w:type="dxa" w:w="2160"/>
          </w:tcPr>
          <w:p>
            <w:r>
              <w:t>-0.41%</w:t>
            </w:r>
          </w:p>
        </w:tc>
        <w:tc>
          <w:tcPr>
            <w:tcW w:type="dxa" w:w="2160"/>
          </w:tcPr>
          <w:p>
            <w:r>
              <w:t>6.16%</w:t>
            </w:r>
          </w:p>
        </w:tc>
      </w:tr>
      <w:tr>
        <w:tc>
          <w:tcPr>
            <w:tcW w:type="dxa" w:w="2160"/>
          </w:tcPr>
          <w:p>
            <w:r>
              <w:t>2024-05 to 2024-08</w:t>
            </w:r>
          </w:p>
        </w:tc>
        <w:tc>
          <w:tcPr>
            <w:tcW w:type="dxa" w:w="2160"/>
          </w:tcPr>
          <w:p>
            <w:r>
              <w:t>4.59%</w:t>
            </w:r>
          </w:p>
        </w:tc>
        <w:tc>
          <w:tcPr>
            <w:tcW w:type="dxa" w:w="2160"/>
          </w:tcPr>
          <w:p>
            <w:r>
              <w:t>10.44%</w:t>
            </w:r>
          </w:p>
        </w:tc>
        <w:tc>
          <w:tcPr>
            <w:tcW w:type="dxa" w:w="2160"/>
          </w:tcPr>
          <w:p>
            <w:r>
              <w:t>-5.85%</w:t>
            </w:r>
          </w:p>
        </w:tc>
      </w:tr>
      <w:tr>
        <w:tc>
          <w:tcPr>
            <w:tcW w:type="dxa" w:w="2160"/>
          </w:tcPr>
          <w:p>
            <w:r>
              <w:t>2024-08 to 2024-11</w:t>
            </w:r>
          </w:p>
        </w:tc>
        <w:tc>
          <w:tcPr>
            <w:tcW w:type="dxa" w:w="2160"/>
          </w:tcPr>
          <w:p>
            <w:r>
              <w:t>**8.25%**</w:t>
            </w:r>
          </w:p>
        </w:tc>
        <w:tc>
          <w:tcPr>
            <w:tcW w:type="dxa" w:w="2160"/>
          </w:tcPr>
          <w:p>
            <w:r>
              <w:t>-3.62%</w:t>
            </w:r>
          </w:p>
        </w:tc>
        <w:tc>
          <w:tcPr>
            <w:tcW w:type="dxa" w:w="2160"/>
          </w:tcPr>
          <w:p>
            <w:r>
              <w:t>11.87%</w:t>
            </w:r>
          </w:p>
        </w:tc>
      </w:tr>
      <w:tr>
        <w:tc>
          <w:tcPr>
            <w:tcW w:type="dxa" w:w="2160"/>
          </w:tcPr>
          <w:p>
            <w:r>
              <w:t>2024-11 to 2025-02</w:t>
            </w:r>
          </w:p>
        </w:tc>
        <w:tc>
          <w:tcPr>
            <w:tcW w:type="dxa" w:w="2160"/>
          </w:tcPr>
          <w:p>
            <w:r>
              <w:t>**-11.13%**</w:t>
            </w:r>
          </w:p>
        </w:tc>
        <w:tc>
          <w:tcPr>
            <w:tcW w:type="dxa" w:w="2160"/>
          </w:tcPr>
          <w:p>
            <w:r>
              <w:t>-14.98%</w:t>
            </w:r>
          </w:p>
        </w:tc>
        <w:tc>
          <w:tcPr>
            <w:tcW w:type="dxa" w:w="2160"/>
          </w:tcPr>
          <w:p>
            <w:r>
              <w:t>3.85%</w:t>
            </w:r>
          </w:p>
        </w:tc>
      </w:tr>
      <w:tr>
        <w:tc>
          <w:tcPr>
            <w:tcW w:type="dxa" w:w="2160"/>
          </w:tcPr>
          <w:p>
            <w:r>
              <w:t>2025-02 to 2025-05</w:t>
            </w:r>
          </w:p>
        </w:tc>
        <w:tc>
          <w:tcPr>
            <w:tcW w:type="dxa" w:w="2160"/>
          </w:tcPr>
          <w:p>
            <w:r>
              <w:t>0.86%</w:t>
            </w:r>
          </w:p>
        </w:tc>
        <w:tc>
          <w:tcPr>
            <w:tcW w:type="dxa" w:w="2160"/>
          </w:tcPr>
          <w:p>
            <w:r>
              <w:t>14.47%</w:t>
            </w:r>
          </w:p>
        </w:tc>
        <w:tc>
          <w:tcPr>
            <w:tcW w:type="dxa" w:w="2160"/>
          </w:tcPr>
          <w:p>
            <w:r>
              <w:t>-13.61%</w:t>
            </w:r>
          </w:p>
        </w:tc>
      </w:tr>
      <w:tr>
        <w:tc>
          <w:tcPr>
            <w:tcW w:type="dxa" w:w="2160"/>
          </w:tcPr>
          <w:p>
            <w:r>
              <w:t>2025-05 to 2025-08</w:t>
            </w:r>
          </w:p>
        </w:tc>
        <w:tc>
          <w:tcPr>
            <w:tcW w:type="dxa" w:w="2160"/>
          </w:tcPr>
          <w:p>
            <w:r>
              <w:t>-1.04%</w:t>
            </w:r>
          </w:p>
        </w:tc>
        <w:tc>
          <w:tcPr>
            <w:tcW w:type="dxa" w:w="2160"/>
          </w:tcPr>
          <w:p>
            <w:r>
              <w:t>2.79%</w:t>
            </w:r>
          </w:p>
        </w:tc>
        <w:tc>
          <w:tcPr>
            <w:tcW w:type="dxa" w:w="2160"/>
          </w:tcPr>
          <w:p>
            <w:r>
              <w:t>-3.83%</w:t>
            </w:r>
          </w:p>
        </w:tc>
      </w:tr>
      <w:tr>
        <w:tc>
          <w:tcPr>
            <w:tcW w:type="dxa" w:w="2160"/>
          </w:tcPr>
          <w:p>
            <w:r>
              <w:t>2025-08 to 2025-11</w:t>
            </w:r>
          </w:p>
        </w:tc>
        <w:tc>
          <w:tcPr>
            <w:tcW w:type="dxa" w:w="2160"/>
          </w:tcPr>
          <w:p>
            <w:r>
              <w:t>**2.19%**</w:t>
            </w:r>
          </w:p>
        </w:tc>
        <w:tc>
          <w:tcPr>
            <w:tcW w:type="dxa" w:w="2160"/>
          </w:tcPr>
          <w:p>
            <w:r>
              <w:t>2.02%</w:t>
            </w:r>
          </w:p>
        </w:tc>
        <w:tc>
          <w:tcPr>
            <w:tcW w:type="dxa" w:w="2160"/>
          </w:tcPr>
          <w:p>
            <w:r>
              <w:t>0.17%</w:t>
            </w:r>
          </w:p>
        </w:tc>
      </w:tr>
      <w:tr>
        <w:tc>
          <w:tcPr>
            <w:tcW w:type="dxa" w:w="2160"/>
          </w:tcPr>
          <w:p>
            <w:r>
              <w:t>2025-11 to 2026-02</w:t>
            </w:r>
          </w:p>
        </w:tc>
        <w:tc>
          <w:tcPr>
            <w:tcW w:type="dxa" w:w="2160"/>
          </w:tcPr>
          <w:p>
            <w:r>
              <w:t>**3.19%**</w:t>
            </w:r>
          </w:p>
        </w:tc>
        <w:tc>
          <w:tcPr>
            <w:tcW w:type="dxa" w:w="2160"/>
          </w:tcPr>
          <w:p>
            <w:r>
              <w:t>-10.34%</w:t>
            </w:r>
          </w:p>
        </w:tc>
        <w:tc>
          <w:tcPr>
            <w:tcW w:type="dxa" w:w="2160"/>
          </w:tcPr>
          <w:p>
            <w:r>
              <w:t>13.53%</w:t>
            </w:r>
          </w:p>
        </w:tc>
      </w:tr>
    </w:tbl>
    <w:p>
      <w:pPr>
        <w:pStyle w:val="Heading2"/>
      </w:pPr>
      <w:r>
        <w:t>4. Risk Analysis</w:t>
      </w:r>
    </w:p>
    <w:p>
      <w:r>
        <w:t>- **Max Drawdown**: -49.03% (Strategy) vs -64.00% (Benchmark).</w:t>
      </w:r>
    </w:p>
    <w:p>
      <w:r>
        <w:t>- **Drawdown Recovery**: The strategy's emphasis on "Relative Strength" (RSNP) ensures that it naturally rotates out of lagging sectors, preventing it from holding onto "value traps" that never recover—a key risk in pure contrarian investing.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