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51F3B72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proofErr w:type="gramStart"/>
      <w:r>
        <w:rPr>
          <w:rFonts w:ascii="Times New Roman" w:hAnsi="Times New Roman"/>
          <w:b/>
          <w:sz w:val="48"/>
          <w:szCs w:val="48"/>
        </w:rPr>
        <w:t xml:space="preserve">  </w:t>
      </w:r>
      <w:r>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56082B99"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687F7E">
        <w:rPr>
          <w:rFonts w:ascii="Times New Roman" w:hAnsi="Times New Roman"/>
        </w:rPr>
        <w:t xml:space="preserve">Senior </w:t>
      </w:r>
      <w:bookmarkStart w:id="0" w:name="_GoBack"/>
      <w:bookmarkEnd w:id="0"/>
      <w:r w:rsidR="00720BBD">
        <w:rPr>
          <w:rFonts w:ascii="Times New Roman" w:hAnsi="Times New Roman"/>
        </w:rPr>
        <w:t>Research</w:t>
      </w:r>
      <w:r w:rsidR="00153665">
        <w:rPr>
          <w:rFonts w:ascii="Times New Roman" w:hAnsi="Times New Roman"/>
        </w:rPr>
        <w:t xml:space="preserve"> Analyst</w:t>
      </w:r>
      <w:r w:rsidR="00DE53D4">
        <w:rPr>
          <w:rFonts w:ascii="Times New Roman" w:hAnsi="Times New Roman"/>
        </w:rPr>
        <w:t xml:space="preserve"> at </w:t>
      </w:r>
      <w:r w:rsidR="00720BBD">
        <w:rPr>
          <w:rFonts w:ascii="Times New Roman" w:hAnsi="Times New Roman"/>
        </w:rPr>
        <w:t>DIG Insights</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0518AA28" w:rsidR="000A2838" w:rsidRDefault="00831067">
      <w:pPr>
        <w:rPr>
          <w:rFonts w:ascii="Times New Roman" w:hAnsi="Times New Roman"/>
          <w:b/>
          <w:sz w:val="32"/>
          <w:szCs w:val="32"/>
        </w:rPr>
      </w:pPr>
      <w:r>
        <w:t>(647) 446 0308</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A23F3D"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D19BBB5" w14:textId="77777777" w:rsidR="005A57C8" w:rsidRPr="00801493" w:rsidRDefault="005A57C8" w:rsidP="005A57C8">
      <w:pPr>
        <w:rPr>
          <w:rFonts w:ascii="Times New Roman" w:hAnsi="Times New Roman"/>
          <w:bCs/>
          <w:i/>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33DA4" w14:textId="77777777" w:rsidR="007B6721" w:rsidRDefault="007B6721" w:rsidP="00C735D0">
      <w:r>
        <w:separator/>
      </w:r>
    </w:p>
  </w:endnote>
  <w:endnote w:type="continuationSeparator" w:id="0">
    <w:p w14:paraId="1B33EC0A" w14:textId="77777777" w:rsidR="007B6721" w:rsidRDefault="007B6721"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F11BF" w14:textId="77777777" w:rsidR="007B6721" w:rsidRDefault="007B6721" w:rsidP="00C735D0">
      <w:r>
        <w:separator/>
      </w:r>
    </w:p>
  </w:footnote>
  <w:footnote w:type="continuationSeparator" w:id="0">
    <w:p w14:paraId="6A135651" w14:textId="77777777" w:rsidR="007B6721" w:rsidRDefault="007B6721"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366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D778A"/>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59BF"/>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57C8"/>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87F7E"/>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0BBD"/>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555D"/>
    <w:rsid w:val="0079657B"/>
    <w:rsid w:val="00797985"/>
    <w:rsid w:val="007A3660"/>
    <w:rsid w:val="007A6475"/>
    <w:rsid w:val="007A66E6"/>
    <w:rsid w:val="007B1059"/>
    <w:rsid w:val="007B45A1"/>
    <w:rsid w:val="007B50EF"/>
    <w:rsid w:val="007B6721"/>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067"/>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200"/>
    <w:rsid w:val="00B86579"/>
    <w:rsid w:val="00B871DC"/>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3A6"/>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3D4"/>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1448"/>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D4A30"/>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62D07444-9D6B-49E8-A1C0-826746634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5</cp:revision>
  <cp:lastPrinted>2019-11-06T14:58:00Z</cp:lastPrinted>
  <dcterms:created xsi:type="dcterms:W3CDTF">2019-12-22T17:56:00Z</dcterms:created>
  <dcterms:modified xsi:type="dcterms:W3CDTF">2019-12-27T01:01:00Z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