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0B77CE" w:rsidRDefault="00F24965">
            <w:pPr>
              <w:rPr>
                <w:b/>
                <w:sz w:val="20"/>
                <w:szCs w:val="20"/>
              </w:rPr>
            </w:pPr>
            <w:r w:rsidRPr="000B77CE">
              <w:rPr>
                <w:b/>
                <w:sz w:val="20"/>
                <w:szCs w:val="20"/>
              </w:rPr>
              <w:t>To:</w:t>
            </w:r>
          </w:p>
        </w:tc>
        <w:tc>
          <w:tcPr>
            <w:tcW w:w="8363" w:type="dxa"/>
            <w:tcBorders>
              <w:top w:val="single" w:sz="4" w:space="0" w:color="auto"/>
            </w:tcBorders>
          </w:tcPr>
          <w:p w14:paraId="4E9568BF" w14:textId="1B381009" w:rsidR="00F24965" w:rsidRPr="000B77CE" w:rsidRDefault="000B77CE">
            <w:pPr>
              <w:rPr>
                <w:sz w:val="20"/>
                <w:szCs w:val="20"/>
                <w:lang w:val="de-DE"/>
              </w:rPr>
            </w:pPr>
            <w:r w:rsidRPr="000B77CE">
              <w:rPr>
                <w:sz w:val="20"/>
                <w:szCs w:val="20"/>
                <w:lang w:val="de-DE"/>
              </w:rPr>
              <w:t xml:space="preserve">Anna </w:t>
            </w:r>
          </w:p>
        </w:tc>
      </w:tr>
      <w:tr w:rsidR="00F24965" w:rsidRPr="00990745" w14:paraId="37773228" w14:textId="77777777" w:rsidTr="00990745">
        <w:tc>
          <w:tcPr>
            <w:tcW w:w="993" w:type="dxa"/>
          </w:tcPr>
          <w:p w14:paraId="3B1BF544" w14:textId="77777777" w:rsidR="00F24965" w:rsidRPr="000B77CE" w:rsidRDefault="00F24965">
            <w:pPr>
              <w:rPr>
                <w:b/>
                <w:sz w:val="20"/>
                <w:szCs w:val="20"/>
              </w:rPr>
            </w:pPr>
            <w:r w:rsidRPr="000B77CE">
              <w:rPr>
                <w:b/>
                <w:sz w:val="20"/>
                <w:szCs w:val="20"/>
              </w:rPr>
              <w:t>From:</w:t>
            </w:r>
          </w:p>
        </w:tc>
        <w:tc>
          <w:tcPr>
            <w:tcW w:w="8363" w:type="dxa"/>
          </w:tcPr>
          <w:p w14:paraId="3A9D168F" w14:textId="48BE9438" w:rsidR="00F24965" w:rsidRPr="000B77CE" w:rsidRDefault="000B77CE">
            <w:pPr>
              <w:rPr>
                <w:sz w:val="20"/>
                <w:szCs w:val="20"/>
                <w:lang w:val="de-DE"/>
              </w:rPr>
            </w:pPr>
            <w:r w:rsidRPr="000B77CE">
              <w:rPr>
                <w:sz w:val="20"/>
                <w:szCs w:val="20"/>
                <w:lang w:val="de-DE"/>
              </w:rPr>
              <w:t xml:space="preserve">Hemant Garg </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0B77CE" w:rsidRDefault="00F24965">
            <w:pPr>
              <w:rPr>
                <w:b/>
                <w:sz w:val="20"/>
                <w:szCs w:val="20"/>
              </w:rPr>
            </w:pPr>
            <w:r w:rsidRPr="000B77CE">
              <w:rPr>
                <w:b/>
                <w:sz w:val="20"/>
                <w:szCs w:val="20"/>
              </w:rPr>
              <w:t>Subject:</w:t>
            </w:r>
          </w:p>
        </w:tc>
        <w:tc>
          <w:tcPr>
            <w:tcW w:w="8363" w:type="dxa"/>
            <w:tcBorders>
              <w:bottom w:val="single" w:sz="4" w:space="0" w:color="auto"/>
            </w:tcBorders>
          </w:tcPr>
          <w:p w14:paraId="18A61B20" w14:textId="1B0BB216" w:rsidR="00F24965" w:rsidRPr="000B77CE" w:rsidRDefault="000B77CE">
            <w:pPr>
              <w:rPr>
                <w:sz w:val="20"/>
                <w:szCs w:val="20"/>
                <w:lang w:val="en-US"/>
              </w:rPr>
            </w:pPr>
            <w:r w:rsidRPr="000B77CE">
              <w:rPr>
                <w:sz w:val="20"/>
                <w:szCs w:val="20"/>
                <w:lang w:val="en-US"/>
              </w:rPr>
              <w:t xml:space="preserve">Recommendation related to Future Investment in Companies </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0B77CE" w:rsidRDefault="00990745" w:rsidP="00990745">
            <w:pPr>
              <w:rPr>
                <w:sz w:val="20"/>
                <w:szCs w:val="20"/>
              </w:rPr>
            </w:pPr>
          </w:p>
          <w:p w14:paraId="0D5661BB" w14:textId="76567389" w:rsidR="00AF616A" w:rsidRPr="000B77CE" w:rsidRDefault="000B77CE" w:rsidP="0039065E">
            <w:pPr>
              <w:rPr>
                <w:sz w:val="20"/>
                <w:szCs w:val="20"/>
                <w:lang w:val="en-US"/>
              </w:rPr>
            </w:pPr>
            <w:r w:rsidRPr="000B77CE">
              <w:rPr>
                <w:sz w:val="20"/>
                <w:szCs w:val="20"/>
                <w:lang w:val="en-US"/>
              </w:rPr>
              <w:t xml:space="preserve">Hi Anna, </w:t>
            </w:r>
          </w:p>
          <w:p w14:paraId="0D911622" w14:textId="4440A461" w:rsidR="009B6A6C" w:rsidRPr="000B77CE" w:rsidRDefault="000B77CE" w:rsidP="00DC3063">
            <w:pPr>
              <w:rPr>
                <w:sz w:val="20"/>
                <w:szCs w:val="20"/>
                <w:lang w:val="en-US"/>
              </w:rPr>
            </w:pPr>
            <w:r w:rsidRPr="000B77CE">
              <w:rPr>
                <w:sz w:val="20"/>
                <w:szCs w:val="20"/>
                <w:lang w:val="en-US"/>
              </w:rPr>
              <w:t xml:space="preserve">Here, I am presenting my study based on the future recommendation, where our company can invest for betterment in other countries. </w:t>
            </w:r>
          </w:p>
          <w:p w14:paraId="5D68EA3A" w14:textId="77777777" w:rsidR="00DC3063" w:rsidRPr="000B77CE" w:rsidRDefault="00DC3063"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9B6A6C" w:rsidRPr="000B77CE" w14:paraId="421F4B46" w14:textId="77777777" w:rsidTr="009318F6">
              <w:tc>
                <w:tcPr>
                  <w:tcW w:w="1240" w:type="dxa"/>
                </w:tcPr>
                <w:p w14:paraId="60517C97" w14:textId="77777777" w:rsidR="009B6A6C" w:rsidRPr="000B77CE" w:rsidRDefault="009B6A6C" w:rsidP="009B6A6C">
                  <w:pPr>
                    <w:rPr>
                      <w:b/>
                      <w:bCs/>
                      <w:sz w:val="20"/>
                      <w:szCs w:val="20"/>
                    </w:rPr>
                  </w:pPr>
                  <w:r w:rsidRPr="000B77CE">
                    <w:rPr>
                      <w:b/>
                      <w:bCs/>
                      <w:sz w:val="20"/>
                      <w:szCs w:val="20"/>
                    </w:rPr>
                    <w:t>Company</w:t>
                  </w:r>
                </w:p>
              </w:tc>
              <w:tc>
                <w:tcPr>
                  <w:tcW w:w="2647" w:type="dxa"/>
                </w:tcPr>
                <w:p w14:paraId="3125A531" w14:textId="77777777" w:rsidR="009B6A6C" w:rsidRPr="000B77CE" w:rsidRDefault="009B6A6C" w:rsidP="009B6A6C">
                  <w:pPr>
                    <w:rPr>
                      <w:b/>
                      <w:bCs/>
                      <w:sz w:val="20"/>
                      <w:szCs w:val="20"/>
                    </w:rPr>
                  </w:pPr>
                  <w:r w:rsidRPr="000B77CE">
                    <w:rPr>
                      <w:b/>
                      <w:bCs/>
                      <w:sz w:val="20"/>
                      <w:szCs w:val="20"/>
                    </w:rPr>
                    <w:t>Description</w:t>
                  </w:r>
                </w:p>
              </w:tc>
              <w:tc>
                <w:tcPr>
                  <w:tcW w:w="2893" w:type="dxa"/>
                </w:tcPr>
                <w:p w14:paraId="0C3F17B4" w14:textId="21979932" w:rsidR="009B6A6C" w:rsidRPr="000B77CE" w:rsidRDefault="009B6A6C" w:rsidP="009B6A6C">
                  <w:pPr>
                    <w:rPr>
                      <w:b/>
                      <w:bCs/>
                      <w:sz w:val="20"/>
                      <w:szCs w:val="20"/>
                    </w:rPr>
                  </w:pPr>
                  <w:r w:rsidRPr="000B77CE">
                    <w:rPr>
                      <w:b/>
                      <w:bCs/>
                      <w:sz w:val="20"/>
                      <w:szCs w:val="20"/>
                    </w:rPr>
                    <w:t xml:space="preserve">Relevance to </w:t>
                  </w:r>
                  <w:r w:rsidR="00653160" w:rsidRPr="000B77CE">
                    <w:rPr>
                      <w:b/>
                      <w:bCs/>
                      <w:sz w:val="20"/>
                      <w:szCs w:val="20"/>
                    </w:rPr>
                    <w:t>Worldwide</w:t>
                  </w:r>
                  <w:r w:rsidRPr="000B77CE">
                    <w:rPr>
                      <w:b/>
                      <w:bCs/>
                      <w:sz w:val="20"/>
                      <w:szCs w:val="20"/>
                    </w:rPr>
                    <w:t xml:space="preserve"> Brewing</w:t>
                  </w:r>
                </w:p>
                <w:p w14:paraId="6B7D1221" w14:textId="77777777" w:rsidR="009B6A6C" w:rsidRPr="000B77CE" w:rsidRDefault="009B6A6C" w:rsidP="009B6A6C">
                  <w:pPr>
                    <w:rPr>
                      <w:b/>
                      <w:bCs/>
                      <w:sz w:val="20"/>
                      <w:szCs w:val="20"/>
                    </w:rPr>
                  </w:pPr>
                </w:p>
              </w:tc>
              <w:tc>
                <w:tcPr>
                  <w:tcW w:w="2350" w:type="dxa"/>
                </w:tcPr>
                <w:p w14:paraId="382D6F9A" w14:textId="77777777" w:rsidR="009B6A6C" w:rsidRPr="000B77CE" w:rsidRDefault="009B6A6C" w:rsidP="009B6A6C">
                  <w:pPr>
                    <w:rPr>
                      <w:b/>
                      <w:bCs/>
                      <w:sz w:val="20"/>
                      <w:szCs w:val="20"/>
                    </w:rPr>
                  </w:pPr>
                  <w:r w:rsidRPr="000B77CE">
                    <w:rPr>
                      <w:b/>
                      <w:bCs/>
                      <w:sz w:val="20"/>
                      <w:szCs w:val="20"/>
                    </w:rPr>
                    <w:t>Recommendation</w:t>
                  </w:r>
                </w:p>
              </w:tc>
            </w:tr>
            <w:tr w:rsidR="009B6A6C" w:rsidRPr="000B77CE" w14:paraId="316921FD" w14:textId="77777777" w:rsidTr="009318F6">
              <w:tc>
                <w:tcPr>
                  <w:tcW w:w="1240" w:type="dxa"/>
                </w:tcPr>
                <w:p w14:paraId="45979E96" w14:textId="32972030" w:rsidR="009B6A6C" w:rsidRPr="000B77CE" w:rsidRDefault="00653160" w:rsidP="009B6A6C">
                  <w:pPr>
                    <w:rPr>
                      <w:b/>
                      <w:bCs/>
                      <w:sz w:val="20"/>
                      <w:szCs w:val="20"/>
                    </w:rPr>
                  </w:pPr>
                  <w:r w:rsidRPr="000B77CE">
                    <w:rPr>
                      <w:b/>
                      <w:bCs/>
                      <w:sz w:val="20"/>
                      <w:szCs w:val="20"/>
                    </w:rPr>
                    <w:t>Happy Hour</w:t>
                  </w:r>
                  <w:r w:rsidR="009B6A6C" w:rsidRPr="000B77CE">
                    <w:rPr>
                      <w:b/>
                      <w:bCs/>
                      <w:sz w:val="20"/>
                      <w:szCs w:val="20"/>
                    </w:rPr>
                    <w:t xml:space="preserve"> Co.</w:t>
                  </w:r>
                </w:p>
              </w:tc>
              <w:tc>
                <w:tcPr>
                  <w:tcW w:w="2647" w:type="dxa"/>
                </w:tcPr>
                <w:p w14:paraId="64ABB862" w14:textId="204DE70D" w:rsidR="009B6A6C" w:rsidRPr="000B77CE" w:rsidRDefault="00653160" w:rsidP="009B6A6C">
                  <w:pPr>
                    <w:rPr>
                      <w:sz w:val="20"/>
                      <w:szCs w:val="20"/>
                    </w:rPr>
                  </w:pPr>
                  <w:r w:rsidRPr="000B77CE">
                    <w:rPr>
                      <w:sz w:val="20"/>
                      <w:szCs w:val="20"/>
                    </w:rPr>
                    <w:t>Happy Hour</w:t>
                  </w:r>
                  <w:r w:rsidR="009B6A6C" w:rsidRPr="000B77CE">
                    <w:rPr>
                      <w:sz w:val="20"/>
                      <w:szCs w:val="20"/>
                    </w:rPr>
                    <w:t xml:space="preserve"> Co. is the largest player in Singapore and Malaysia, in the segments of beer, spirits and non-alcoholic beverages. Its operations include manufacturing facilities, distribution and direct sales and it has demonstrated strong growth in EBITDA in FY2020 which was up 20% pcp and amounted to US$300mm.</w:t>
                  </w:r>
                </w:p>
              </w:tc>
              <w:tc>
                <w:tcPr>
                  <w:tcW w:w="2893" w:type="dxa"/>
                </w:tcPr>
                <w:p w14:paraId="2ACD63EA" w14:textId="74E44E3A" w:rsidR="009B6A6C" w:rsidRPr="000B77CE" w:rsidRDefault="000B77CE" w:rsidP="009B6A6C">
                  <w:pPr>
                    <w:rPr>
                      <w:sz w:val="20"/>
                      <w:szCs w:val="20"/>
                      <w:lang w:val="en-US"/>
                    </w:rPr>
                  </w:pPr>
                  <w:r w:rsidRPr="000B77CE">
                    <w:rPr>
                      <w:color w:val="111111"/>
                      <w:sz w:val="20"/>
                      <w:szCs w:val="20"/>
                      <w:shd w:val="clear" w:color="auto" w:fill="FFFFFF"/>
                    </w:rPr>
                    <w:t>The company has manufacturing facilities in Singapore and China, and outsourced facilities in Malaysia. This could provide cost advantages and better control over its supply chain. The company also has distribution and direct sales, which can provide better control over its supply chain.</w:t>
                  </w:r>
                  <w:r w:rsidRPr="000B77CE">
                    <w:rPr>
                      <w:color w:val="111111"/>
                      <w:sz w:val="20"/>
                      <w:szCs w:val="20"/>
                      <w:shd w:val="clear" w:color="auto" w:fill="FFFFFF"/>
                      <w:lang w:val="en-US"/>
                    </w:rPr>
                    <w:t xml:space="preserve"> </w:t>
                  </w:r>
                  <w:r w:rsidRPr="000B77CE">
                    <w:rPr>
                      <w:color w:val="111111"/>
                      <w:sz w:val="20"/>
                      <w:szCs w:val="20"/>
                      <w:shd w:val="clear" w:color="auto" w:fill="FFFFFF"/>
                    </w:rPr>
                    <w:t>The company is owned solely by three families. One of the owners has passed away, forcing a sale process. This could present both opportunities and challenges. On one hand, new ownership could bring fresh ideas and strategies. On the other hand, the transition could lead to uncertainty and potential disruptions.</w:t>
                  </w:r>
                  <w:r w:rsidRPr="000B77CE">
                    <w:rPr>
                      <w:color w:val="111111"/>
                      <w:sz w:val="20"/>
                      <w:szCs w:val="20"/>
                      <w:shd w:val="clear" w:color="auto" w:fill="FFFFFF"/>
                      <w:lang w:val="en-US"/>
                    </w:rPr>
                    <w:t xml:space="preserve"> </w:t>
                  </w:r>
                  <w:r w:rsidRPr="000B77CE">
                    <w:rPr>
                      <w:color w:val="111111"/>
                      <w:sz w:val="20"/>
                      <w:szCs w:val="20"/>
                      <w:shd w:val="clear" w:color="auto" w:fill="FFFFFF"/>
                    </w:rPr>
                    <w:t>The company’s EBITDA for FY June 2020 was US$300 million, up 20% from the previous corresponding period. This indicates a positive financial performance.</w:t>
                  </w:r>
                </w:p>
              </w:tc>
              <w:tc>
                <w:tcPr>
                  <w:tcW w:w="2350" w:type="dxa"/>
                </w:tcPr>
                <w:p w14:paraId="247ED975" w14:textId="401CA336" w:rsidR="009B6A6C" w:rsidRPr="000B77CE" w:rsidRDefault="009B6A6C" w:rsidP="009B6A6C">
                  <w:pPr>
                    <w:rPr>
                      <w:b/>
                      <w:bCs/>
                      <w:sz w:val="20"/>
                      <w:szCs w:val="20"/>
                    </w:rPr>
                  </w:pPr>
                  <w:r w:rsidRPr="000B77CE">
                    <w:rPr>
                      <w:b/>
                      <w:bCs/>
                      <w:sz w:val="20"/>
                      <w:szCs w:val="20"/>
                    </w:rPr>
                    <w:t>Recommend</w:t>
                  </w:r>
                </w:p>
              </w:tc>
            </w:tr>
            <w:tr w:rsidR="00653160" w:rsidRPr="000B77CE" w14:paraId="4B9C7CCF" w14:textId="77777777" w:rsidTr="009318F6">
              <w:tc>
                <w:tcPr>
                  <w:tcW w:w="1240" w:type="dxa"/>
                </w:tcPr>
                <w:p w14:paraId="682DFD08" w14:textId="77777777" w:rsidR="00653160" w:rsidRPr="000B77CE" w:rsidRDefault="00653160" w:rsidP="00653160">
                  <w:pPr>
                    <w:rPr>
                      <w:b/>
                      <w:bCs/>
                      <w:sz w:val="20"/>
                      <w:szCs w:val="20"/>
                    </w:rPr>
                  </w:pPr>
                </w:p>
                <w:p w14:paraId="1F8730EC" w14:textId="1AEBA472" w:rsidR="00653160" w:rsidRPr="000B77CE" w:rsidRDefault="00653160" w:rsidP="00653160">
                  <w:pPr>
                    <w:rPr>
                      <w:b/>
                      <w:bCs/>
                      <w:sz w:val="20"/>
                      <w:szCs w:val="20"/>
                    </w:rPr>
                  </w:pPr>
                  <w:r w:rsidRPr="000B77CE">
                    <w:rPr>
                      <w:b/>
                      <w:bCs/>
                      <w:sz w:val="20"/>
                      <w:szCs w:val="20"/>
                    </w:rPr>
                    <w:t xml:space="preserve">Spirit Bay </w:t>
                  </w:r>
                </w:p>
                <w:p w14:paraId="5153DA7F" w14:textId="71B3F33C" w:rsidR="00653160" w:rsidRPr="000B77CE" w:rsidRDefault="00653160" w:rsidP="00653160">
                  <w:pPr>
                    <w:rPr>
                      <w:b/>
                      <w:bCs/>
                      <w:sz w:val="20"/>
                      <w:szCs w:val="20"/>
                    </w:rPr>
                  </w:pPr>
                </w:p>
              </w:tc>
              <w:tc>
                <w:tcPr>
                  <w:tcW w:w="2647" w:type="dxa"/>
                </w:tcPr>
                <w:p w14:paraId="18F2157A" w14:textId="26FA6F10" w:rsidR="00653160" w:rsidRPr="000B77CE" w:rsidRDefault="00653160" w:rsidP="00653160">
                  <w:pPr>
                    <w:rPr>
                      <w:sz w:val="20"/>
                      <w:szCs w:val="20"/>
                    </w:rPr>
                  </w:pPr>
                  <w:r w:rsidRPr="000B77CE">
                    <w:rPr>
                      <w:sz w:val="20"/>
                      <w:szCs w:val="20"/>
                    </w:rPr>
                    <w:t xml:space="preserve">Spirit Bay </w:t>
                  </w:r>
                  <w:r w:rsidRPr="000B77CE">
                    <w:rPr>
                      <w:sz w:val="20"/>
                      <w:szCs w:val="20"/>
                    </w:rPr>
                    <w:t xml:space="preserve">is the largest player in </w:t>
                  </w:r>
                  <w:r w:rsidRPr="000B77CE">
                    <w:rPr>
                      <w:sz w:val="20"/>
                      <w:szCs w:val="20"/>
                    </w:rPr>
                    <w:t>Indonesia, and hold 2</w:t>
                  </w:r>
                  <w:r w:rsidRPr="000B77CE">
                    <w:rPr>
                      <w:sz w:val="20"/>
                      <w:szCs w:val="20"/>
                      <w:vertAlign w:val="superscript"/>
                    </w:rPr>
                    <w:t>nd</w:t>
                  </w:r>
                  <w:r w:rsidRPr="000B77CE">
                    <w:rPr>
                      <w:sz w:val="20"/>
                      <w:szCs w:val="20"/>
                    </w:rPr>
                    <w:t xml:space="preserve"> rank in </w:t>
                  </w:r>
                  <w:r w:rsidRPr="000B77CE">
                    <w:rPr>
                      <w:sz w:val="20"/>
                      <w:szCs w:val="20"/>
                    </w:rPr>
                    <w:t>Malaysia</w:t>
                  </w:r>
                  <w:r w:rsidRPr="000B77CE">
                    <w:rPr>
                      <w:sz w:val="20"/>
                      <w:szCs w:val="20"/>
                    </w:rPr>
                    <w:t xml:space="preserve"> and Singapore</w:t>
                  </w:r>
                  <w:r w:rsidRPr="000B77CE">
                    <w:rPr>
                      <w:sz w:val="20"/>
                      <w:szCs w:val="20"/>
                    </w:rPr>
                    <w:t>, in the segments of beer, spirits and non-alcoholic beverages. Its operations include manufacturing facilities</w:t>
                  </w:r>
                  <w:r w:rsidRPr="000B77CE">
                    <w:rPr>
                      <w:sz w:val="20"/>
                      <w:szCs w:val="20"/>
                    </w:rPr>
                    <w:t xml:space="preserve"> (specially in Indonesia), distribution</w:t>
                  </w:r>
                  <w:r w:rsidRPr="000B77CE">
                    <w:rPr>
                      <w:sz w:val="20"/>
                      <w:szCs w:val="20"/>
                    </w:rPr>
                    <w:t xml:space="preserve"> and direct sales and it has demonstrated strong growth in EBITDA in FY2020 which was up</w:t>
                  </w:r>
                  <w:r w:rsidRPr="000B77CE">
                    <w:rPr>
                      <w:sz w:val="20"/>
                      <w:szCs w:val="20"/>
                    </w:rPr>
                    <w:t xml:space="preserve"> 4</w:t>
                  </w:r>
                  <w:r w:rsidRPr="000B77CE">
                    <w:rPr>
                      <w:sz w:val="20"/>
                      <w:szCs w:val="20"/>
                    </w:rPr>
                    <w:t>0% pcp and amounted to US$</w:t>
                  </w:r>
                  <w:r w:rsidRPr="000B77CE">
                    <w:rPr>
                      <w:sz w:val="20"/>
                      <w:szCs w:val="20"/>
                    </w:rPr>
                    <w:t>4</w:t>
                  </w:r>
                  <w:r w:rsidRPr="000B77CE">
                    <w:rPr>
                      <w:sz w:val="20"/>
                      <w:szCs w:val="20"/>
                    </w:rPr>
                    <w:t>00mm.</w:t>
                  </w:r>
                </w:p>
              </w:tc>
              <w:tc>
                <w:tcPr>
                  <w:tcW w:w="2893" w:type="dxa"/>
                </w:tcPr>
                <w:p w14:paraId="55516301" w14:textId="77777777" w:rsidR="00BE75B1" w:rsidRPr="000B77CE" w:rsidRDefault="00BE75B1" w:rsidP="00BE75B1">
                  <w:pPr>
                    <w:pStyle w:val="NormalWeb"/>
                    <w:shd w:val="clear" w:color="auto" w:fill="FFFFFF"/>
                    <w:spacing w:before="0" w:beforeAutospacing="0" w:after="0" w:afterAutospacing="0"/>
                    <w:rPr>
                      <w:color w:val="111111"/>
                      <w:sz w:val="20"/>
                      <w:szCs w:val="20"/>
                    </w:rPr>
                  </w:pPr>
                  <w:r w:rsidRPr="000B77CE">
                    <w:rPr>
                      <w:color w:val="111111"/>
                      <w:sz w:val="20"/>
                      <w:szCs w:val="20"/>
                      <w:shd w:val="clear" w:color="auto" w:fill="FFFFFF"/>
                    </w:rPr>
                    <w:t>The company has a diverse product portfolio that includes beer, spirits, and non-alcoholic beverages. This diversification can help mitigate risks associated with one particular segment.</w:t>
                  </w:r>
                  <w:r w:rsidRPr="000B77CE">
                    <w:rPr>
                      <w:color w:val="111111"/>
                      <w:sz w:val="20"/>
                      <w:szCs w:val="20"/>
                      <w:shd w:val="clear" w:color="auto" w:fill="FFFFFF"/>
                    </w:rPr>
                    <w:t xml:space="preserve"> </w:t>
                  </w:r>
                  <w:r w:rsidRPr="000B77CE">
                    <w:rPr>
                      <w:color w:val="111111"/>
                      <w:sz w:val="20"/>
                      <w:szCs w:val="20"/>
                    </w:rPr>
                    <w:t>The company has its own manufacturing facilities in Indonesia, which could potentially provide cost advantages. It also has distribution and direct sales, which can provide better control over its supply chain.</w:t>
                  </w:r>
                </w:p>
                <w:p w14:paraId="2E4FFE19" w14:textId="7A21E33F" w:rsidR="00BE75B1" w:rsidRPr="000B77CE" w:rsidRDefault="00BE75B1" w:rsidP="00BE75B1">
                  <w:pPr>
                    <w:rPr>
                      <w:sz w:val="20"/>
                      <w:szCs w:val="20"/>
                      <w:lang w:val="en-US"/>
                    </w:rPr>
                  </w:pPr>
                  <w:r w:rsidRPr="000B77CE">
                    <w:rPr>
                      <w:color w:val="111111"/>
                      <w:sz w:val="20"/>
                      <w:szCs w:val="20"/>
                      <w:shd w:val="clear" w:color="auto" w:fill="FFFFFF"/>
                    </w:rPr>
                    <w:t>The company is 60% owned by a Global Sponsor, which could provide financial stability and strategic guidance. The fact that 40% is employee-owned could potentially lead to higher employee motivation and alignment with the company’s success.</w:t>
                  </w:r>
                  <w:r w:rsidRPr="000B77CE">
                    <w:rPr>
                      <w:color w:val="111111"/>
                      <w:sz w:val="20"/>
                      <w:szCs w:val="20"/>
                      <w:shd w:val="clear" w:color="auto" w:fill="FFFFFF"/>
                      <w:lang w:val="en-US"/>
                    </w:rPr>
                    <w:t xml:space="preserve"> </w:t>
                  </w:r>
                  <w:r w:rsidRPr="000B77CE">
                    <w:rPr>
                      <w:color w:val="111111"/>
                      <w:sz w:val="20"/>
                      <w:szCs w:val="20"/>
                      <w:shd w:val="clear" w:color="auto" w:fill="FFFFFF"/>
                    </w:rPr>
                    <w:t xml:space="preserve">The company’s EBITDA for FY June 2020 was </w:t>
                  </w:r>
                  <w:r w:rsidRPr="000B77CE">
                    <w:rPr>
                      <w:color w:val="111111"/>
                      <w:sz w:val="20"/>
                      <w:szCs w:val="20"/>
                      <w:shd w:val="clear" w:color="auto" w:fill="FFFFFF"/>
                    </w:rPr>
                    <w:lastRenderedPageBreak/>
                    <w:t>US$400 million, up 40% from the previous corresponding period. This indicates strong financial performance and profitability.</w:t>
                  </w:r>
                </w:p>
                <w:p w14:paraId="1A2EB85F" w14:textId="4DD3CBAA" w:rsidR="00653160" w:rsidRPr="000B77CE" w:rsidRDefault="00653160" w:rsidP="00653160">
                  <w:pPr>
                    <w:rPr>
                      <w:sz w:val="20"/>
                      <w:szCs w:val="20"/>
                    </w:rPr>
                  </w:pPr>
                </w:p>
              </w:tc>
              <w:tc>
                <w:tcPr>
                  <w:tcW w:w="2350" w:type="dxa"/>
                </w:tcPr>
                <w:p w14:paraId="0D63E031" w14:textId="19743844" w:rsidR="00653160" w:rsidRPr="000B77CE" w:rsidRDefault="00653160" w:rsidP="00653160">
                  <w:pPr>
                    <w:rPr>
                      <w:b/>
                      <w:bCs/>
                      <w:sz w:val="20"/>
                      <w:szCs w:val="20"/>
                    </w:rPr>
                  </w:pPr>
                  <w:r w:rsidRPr="000B77CE">
                    <w:rPr>
                      <w:b/>
                      <w:bCs/>
                      <w:sz w:val="20"/>
                      <w:szCs w:val="20"/>
                    </w:rPr>
                    <w:lastRenderedPageBreak/>
                    <w:t xml:space="preserve">Recommend </w:t>
                  </w:r>
                </w:p>
              </w:tc>
            </w:tr>
            <w:tr w:rsidR="00653160" w:rsidRPr="000B77CE" w14:paraId="42F211ED" w14:textId="77777777" w:rsidTr="009318F6">
              <w:tc>
                <w:tcPr>
                  <w:tcW w:w="1240" w:type="dxa"/>
                </w:tcPr>
                <w:p w14:paraId="1D52A033" w14:textId="77777777" w:rsidR="00653160" w:rsidRPr="000B77CE" w:rsidRDefault="00653160" w:rsidP="00653160">
                  <w:pPr>
                    <w:rPr>
                      <w:b/>
                      <w:bCs/>
                      <w:sz w:val="20"/>
                      <w:szCs w:val="20"/>
                    </w:rPr>
                  </w:pPr>
                </w:p>
                <w:p w14:paraId="6099C0D4" w14:textId="4A1BE9B4" w:rsidR="00653160" w:rsidRPr="000B77CE" w:rsidRDefault="00653160" w:rsidP="00653160">
                  <w:pPr>
                    <w:rPr>
                      <w:b/>
                      <w:bCs/>
                      <w:sz w:val="20"/>
                      <w:szCs w:val="20"/>
                    </w:rPr>
                  </w:pPr>
                  <w:r w:rsidRPr="000B77CE">
                    <w:rPr>
                      <w:b/>
                      <w:bCs/>
                      <w:sz w:val="20"/>
                      <w:szCs w:val="20"/>
                    </w:rPr>
                    <w:t>Hipster’s Ale</w:t>
                  </w:r>
                </w:p>
                <w:p w14:paraId="39C9B5A1" w14:textId="77777777" w:rsidR="00653160" w:rsidRPr="000B77CE" w:rsidRDefault="00653160" w:rsidP="00653160">
                  <w:pPr>
                    <w:rPr>
                      <w:b/>
                      <w:bCs/>
                      <w:sz w:val="20"/>
                      <w:szCs w:val="20"/>
                    </w:rPr>
                  </w:pPr>
                </w:p>
                <w:p w14:paraId="4A5F2EC8" w14:textId="77777777" w:rsidR="00653160" w:rsidRPr="000B77CE" w:rsidRDefault="00653160" w:rsidP="00653160">
                  <w:pPr>
                    <w:rPr>
                      <w:b/>
                      <w:bCs/>
                      <w:sz w:val="20"/>
                      <w:szCs w:val="20"/>
                    </w:rPr>
                  </w:pPr>
                </w:p>
                <w:p w14:paraId="08AFD947" w14:textId="0A49C034" w:rsidR="00653160" w:rsidRPr="000B77CE" w:rsidRDefault="00653160" w:rsidP="00653160">
                  <w:pPr>
                    <w:rPr>
                      <w:b/>
                      <w:bCs/>
                      <w:sz w:val="20"/>
                      <w:szCs w:val="20"/>
                    </w:rPr>
                  </w:pPr>
                </w:p>
              </w:tc>
              <w:tc>
                <w:tcPr>
                  <w:tcW w:w="2647" w:type="dxa"/>
                </w:tcPr>
                <w:p w14:paraId="4796039D" w14:textId="77777777" w:rsidR="00BE75B1" w:rsidRPr="000B77CE" w:rsidRDefault="00BE75B1" w:rsidP="00653160">
                  <w:pPr>
                    <w:rPr>
                      <w:sz w:val="20"/>
                      <w:szCs w:val="20"/>
                      <w:lang w:val="en-US"/>
                    </w:rPr>
                  </w:pPr>
                </w:p>
                <w:p w14:paraId="5D2F20CE" w14:textId="7583425E" w:rsidR="00653160" w:rsidRPr="000B77CE" w:rsidRDefault="00BE75B1" w:rsidP="00653160">
                  <w:pPr>
                    <w:rPr>
                      <w:sz w:val="20"/>
                      <w:szCs w:val="20"/>
                    </w:rPr>
                  </w:pPr>
                  <w:r w:rsidRPr="000B77CE">
                    <w:rPr>
                      <w:sz w:val="20"/>
                      <w:szCs w:val="20"/>
                      <w:lang w:val="en-US"/>
                    </w:rPr>
                    <w:t>Hipster’ Ale</w:t>
                  </w:r>
                  <w:r w:rsidR="00653160" w:rsidRPr="000B77CE">
                    <w:rPr>
                      <w:sz w:val="20"/>
                      <w:szCs w:val="20"/>
                    </w:rPr>
                    <w:t xml:space="preserve"> </w:t>
                  </w:r>
                  <w:r w:rsidR="00653160" w:rsidRPr="000B77CE">
                    <w:rPr>
                      <w:sz w:val="20"/>
                      <w:szCs w:val="20"/>
                    </w:rPr>
                    <w:t xml:space="preserve">has HQ in </w:t>
                  </w:r>
                  <w:r w:rsidR="00653160" w:rsidRPr="000B77CE">
                    <w:rPr>
                      <w:sz w:val="20"/>
                      <w:szCs w:val="20"/>
                    </w:rPr>
                    <w:t xml:space="preserve">Malaysia and </w:t>
                  </w:r>
                  <w:r w:rsidR="00653160" w:rsidRPr="000B77CE">
                    <w:rPr>
                      <w:sz w:val="20"/>
                      <w:szCs w:val="20"/>
                    </w:rPr>
                    <w:t xml:space="preserve">holds a good position in countries like </w:t>
                  </w:r>
                  <w:r w:rsidR="00653160" w:rsidRPr="000B77CE">
                    <w:rPr>
                      <w:sz w:val="20"/>
                      <w:szCs w:val="20"/>
                    </w:rPr>
                    <w:t>Singapore,</w:t>
                  </w:r>
                  <w:r w:rsidR="00653160" w:rsidRPr="000B77CE">
                    <w:rPr>
                      <w:sz w:val="20"/>
                      <w:szCs w:val="20"/>
                    </w:rPr>
                    <w:t xml:space="preserve"> Indonesia, Japan and more in</w:t>
                  </w:r>
                  <w:r w:rsidR="00653160" w:rsidRPr="000B77CE">
                    <w:rPr>
                      <w:sz w:val="20"/>
                      <w:szCs w:val="20"/>
                    </w:rPr>
                    <w:t xml:space="preserve"> the segments of beer, spirits beverages. Its operations include manufacturing</w:t>
                  </w:r>
                  <w:r w:rsidR="00653160" w:rsidRPr="000B77CE">
                    <w:rPr>
                      <w:sz w:val="20"/>
                      <w:szCs w:val="20"/>
                    </w:rPr>
                    <w:t xml:space="preserve"> focused on consortium microbreweries in each region, </w:t>
                  </w:r>
                  <w:r w:rsidR="00653160" w:rsidRPr="000B77CE">
                    <w:rPr>
                      <w:sz w:val="20"/>
                      <w:szCs w:val="20"/>
                    </w:rPr>
                    <w:t xml:space="preserve">distribution and direct sales and it has demonstrated strong growth in EBITDA in FY2020 which was up </w:t>
                  </w:r>
                  <w:r w:rsidR="00653160" w:rsidRPr="000B77CE">
                    <w:rPr>
                      <w:sz w:val="20"/>
                      <w:szCs w:val="20"/>
                    </w:rPr>
                    <w:t>15</w:t>
                  </w:r>
                  <w:r w:rsidR="00653160" w:rsidRPr="000B77CE">
                    <w:rPr>
                      <w:sz w:val="20"/>
                      <w:szCs w:val="20"/>
                    </w:rPr>
                    <w:t>% pcp and amounted to US$</w:t>
                  </w:r>
                  <w:r w:rsidR="00653160" w:rsidRPr="000B77CE">
                    <w:rPr>
                      <w:sz w:val="20"/>
                      <w:szCs w:val="20"/>
                    </w:rPr>
                    <w:t>2</w:t>
                  </w:r>
                  <w:r w:rsidR="00653160" w:rsidRPr="000B77CE">
                    <w:rPr>
                      <w:sz w:val="20"/>
                      <w:szCs w:val="20"/>
                    </w:rPr>
                    <w:t>00mm.</w:t>
                  </w:r>
                </w:p>
              </w:tc>
              <w:tc>
                <w:tcPr>
                  <w:tcW w:w="2893" w:type="dxa"/>
                </w:tcPr>
                <w:p w14:paraId="740A5886" w14:textId="4AF933E5" w:rsidR="00653160" w:rsidRPr="000B77CE" w:rsidRDefault="000B77CE" w:rsidP="00653160">
                  <w:pPr>
                    <w:rPr>
                      <w:b/>
                      <w:bCs/>
                      <w:sz w:val="20"/>
                      <w:szCs w:val="20"/>
                    </w:rPr>
                  </w:pPr>
                  <w:r w:rsidRPr="000B77CE">
                    <w:rPr>
                      <w:color w:val="111111"/>
                      <w:sz w:val="20"/>
                      <w:szCs w:val="20"/>
                      <w:shd w:val="clear" w:color="auto" w:fill="FFFFFF"/>
                    </w:rPr>
                    <w:t>The company operates a consortium of independent microbreweries in each region, which could provide unique offerings and local appeal in each market. It also has distribution and direct sales, which can provide better control over its supply chain.</w:t>
                  </w:r>
                  <w:r w:rsidRPr="000B77CE">
                    <w:rPr>
                      <w:color w:val="111111"/>
                      <w:sz w:val="20"/>
                      <w:szCs w:val="20"/>
                      <w:shd w:val="clear" w:color="auto" w:fill="FFFFFF"/>
                      <w:lang w:val="en-US"/>
                    </w:rPr>
                    <w:t xml:space="preserve"> </w:t>
                  </w:r>
                  <w:r w:rsidRPr="000B77CE">
                    <w:rPr>
                      <w:color w:val="111111"/>
                      <w:sz w:val="20"/>
                      <w:szCs w:val="20"/>
                      <w:shd w:val="clear" w:color="auto" w:fill="FFFFFF"/>
                    </w:rPr>
                    <w:t>The company is owned by 30 independent breweries. This could potentially lead to a diverse range of ideas and innovations, but it might also present challenges in terms of decision-making and alignment of interests</w:t>
                  </w:r>
                  <w:r w:rsidRPr="000B77CE">
                    <w:rPr>
                      <w:color w:val="111111"/>
                      <w:sz w:val="20"/>
                      <w:szCs w:val="20"/>
                      <w:shd w:val="clear" w:color="auto" w:fill="FFFFFF"/>
                    </w:rPr>
                    <w:t xml:space="preserve">. </w:t>
                  </w:r>
                  <w:r w:rsidRPr="000B77CE">
                    <w:rPr>
                      <w:color w:val="111111"/>
                      <w:sz w:val="20"/>
                      <w:szCs w:val="20"/>
                      <w:shd w:val="clear" w:color="auto" w:fill="FFFFFF"/>
                    </w:rPr>
                    <w:t>The company’s EBITDA for FY June 2020 was US$200 million, up 15% from the previous corresponding period. This indicates a positive financial performance.</w:t>
                  </w:r>
                </w:p>
              </w:tc>
              <w:tc>
                <w:tcPr>
                  <w:tcW w:w="2350" w:type="dxa"/>
                </w:tcPr>
                <w:p w14:paraId="372929A6" w14:textId="77777777" w:rsidR="00BE75B1" w:rsidRPr="000B77CE" w:rsidRDefault="00BE75B1" w:rsidP="00653160">
                  <w:pPr>
                    <w:rPr>
                      <w:b/>
                      <w:bCs/>
                      <w:sz w:val="20"/>
                      <w:szCs w:val="20"/>
                    </w:rPr>
                  </w:pPr>
                </w:p>
                <w:p w14:paraId="5A2469AF" w14:textId="77777777" w:rsidR="00BE75B1" w:rsidRPr="000B77CE" w:rsidRDefault="00BE75B1" w:rsidP="00653160">
                  <w:pPr>
                    <w:rPr>
                      <w:b/>
                      <w:bCs/>
                      <w:sz w:val="20"/>
                      <w:szCs w:val="20"/>
                    </w:rPr>
                  </w:pPr>
                </w:p>
                <w:p w14:paraId="4BF2F6C7" w14:textId="6A38F660" w:rsidR="00653160" w:rsidRPr="000B77CE" w:rsidRDefault="00EF6461" w:rsidP="00653160">
                  <w:pPr>
                    <w:rPr>
                      <w:b/>
                      <w:bCs/>
                      <w:sz w:val="20"/>
                      <w:szCs w:val="20"/>
                    </w:rPr>
                  </w:pPr>
                  <w:r w:rsidRPr="000B77CE">
                    <w:rPr>
                      <w:b/>
                      <w:bCs/>
                      <w:sz w:val="20"/>
                      <w:szCs w:val="20"/>
                    </w:rPr>
                    <w:t xml:space="preserve"> Recommend </w:t>
                  </w:r>
                </w:p>
              </w:tc>
            </w:tr>
            <w:tr w:rsidR="00653160" w:rsidRPr="000B77CE" w14:paraId="4B9B75B0" w14:textId="77777777" w:rsidTr="009318F6">
              <w:tc>
                <w:tcPr>
                  <w:tcW w:w="1240" w:type="dxa"/>
                </w:tcPr>
                <w:p w14:paraId="3A4FDEF2" w14:textId="77777777" w:rsidR="00653160" w:rsidRPr="000B77CE" w:rsidRDefault="00653160" w:rsidP="00653160">
                  <w:pPr>
                    <w:rPr>
                      <w:b/>
                      <w:bCs/>
                      <w:sz w:val="20"/>
                      <w:szCs w:val="20"/>
                    </w:rPr>
                  </w:pPr>
                </w:p>
                <w:p w14:paraId="27271D95" w14:textId="256285D1" w:rsidR="00653160" w:rsidRPr="000B77CE" w:rsidRDefault="00EF6461" w:rsidP="00653160">
                  <w:pPr>
                    <w:rPr>
                      <w:b/>
                      <w:bCs/>
                      <w:sz w:val="20"/>
                      <w:szCs w:val="20"/>
                    </w:rPr>
                  </w:pPr>
                  <w:r w:rsidRPr="000B77CE">
                    <w:rPr>
                      <w:b/>
                      <w:bCs/>
                      <w:sz w:val="20"/>
                      <w:szCs w:val="20"/>
                    </w:rPr>
                    <w:t xml:space="preserve">Brew Co. </w:t>
                  </w:r>
                </w:p>
                <w:p w14:paraId="6CB58894" w14:textId="77777777" w:rsidR="00653160" w:rsidRPr="000B77CE" w:rsidRDefault="00653160" w:rsidP="00653160">
                  <w:pPr>
                    <w:rPr>
                      <w:b/>
                      <w:bCs/>
                      <w:sz w:val="20"/>
                      <w:szCs w:val="20"/>
                    </w:rPr>
                  </w:pPr>
                </w:p>
                <w:p w14:paraId="06DF251F" w14:textId="77777777" w:rsidR="00653160" w:rsidRPr="000B77CE" w:rsidRDefault="00653160" w:rsidP="00653160">
                  <w:pPr>
                    <w:rPr>
                      <w:b/>
                      <w:bCs/>
                      <w:sz w:val="20"/>
                      <w:szCs w:val="20"/>
                    </w:rPr>
                  </w:pPr>
                </w:p>
                <w:p w14:paraId="18235D7E" w14:textId="399FCB76" w:rsidR="00653160" w:rsidRPr="000B77CE" w:rsidRDefault="00653160" w:rsidP="00653160">
                  <w:pPr>
                    <w:rPr>
                      <w:b/>
                      <w:bCs/>
                      <w:sz w:val="20"/>
                      <w:szCs w:val="20"/>
                    </w:rPr>
                  </w:pPr>
                </w:p>
              </w:tc>
              <w:tc>
                <w:tcPr>
                  <w:tcW w:w="2647" w:type="dxa"/>
                </w:tcPr>
                <w:p w14:paraId="1FC65F4D" w14:textId="04E2651A" w:rsidR="00653160" w:rsidRPr="000B77CE" w:rsidRDefault="00BE75B1" w:rsidP="00653160">
                  <w:pPr>
                    <w:rPr>
                      <w:sz w:val="20"/>
                      <w:szCs w:val="20"/>
                    </w:rPr>
                  </w:pPr>
                  <w:r w:rsidRPr="000B77CE">
                    <w:rPr>
                      <w:sz w:val="20"/>
                      <w:szCs w:val="20"/>
                    </w:rPr>
                    <w:t>Brew Co.</w:t>
                  </w:r>
                  <w:r w:rsidR="00EF6461" w:rsidRPr="000B77CE">
                    <w:rPr>
                      <w:sz w:val="20"/>
                      <w:szCs w:val="20"/>
                    </w:rPr>
                    <w:t>is the largest player in Malaysia, in the segments of alcoholic beverages. Its operations include manufacturing facilities</w:t>
                  </w:r>
                  <w:r w:rsidR="00EF6461" w:rsidRPr="000B77CE">
                    <w:rPr>
                      <w:sz w:val="20"/>
                      <w:szCs w:val="20"/>
                    </w:rPr>
                    <w:t xml:space="preserve"> only </w:t>
                  </w:r>
                  <w:r w:rsidR="00EF6461" w:rsidRPr="000B77CE">
                    <w:rPr>
                      <w:sz w:val="20"/>
                      <w:szCs w:val="20"/>
                    </w:rPr>
                    <w:t xml:space="preserve">and it has demonstrated </w:t>
                  </w:r>
                  <w:r w:rsidR="00EF6461" w:rsidRPr="000B77CE">
                    <w:rPr>
                      <w:sz w:val="20"/>
                      <w:szCs w:val="20"/>
                    </w:rPr>
                    <w:t>week</w:t>
                  </w:r>
                  <w:r w:rsidR="00EF6461" w:rsidRPr="000B77CE">
                    <w:rPr>
                      <w:sz w:val="20"/>
                      <w:szCs w:val="20"/>
                    </w:rPr>
                    <w:t xml:space="preserve"> growth in EBITDA in FY2020 which </w:t>
                  </w:r>
                  <w:r w:rsidR="00EF6461" w:rsidRPr="000B77CE">
                    <w:rPr>
                      <w:sz w:val="20"/>
                      <w:szCs w:val="20"/>
                    </w:rPr>
                    <w:t>down</w:t>
                  </w:r>
                  <w:r w:rsidR="00EF6461" w:rsidRPr="000B77CE">
                    <w:rPr>
                      <w:sz w:val="20"/>
                      <w:szCs w:val="20"/>
                    </w:rPr>
                    <w:t xml:space="preserve"> </w:t>
                  </w:r>
                  <w:r w:rsidR="00EF6461" w:rsidRPr="000B77CE">
                    <w:rPr>
                      <w:sz w:val="20"/>
                      <w:szCs w:val="20"/>
                    </w:rPr>
                    <w:t>by 5</w:t>
                  </w:r>
                  <w:r w:rsidR="00EF6461" w:rsidRPr="000B77CE">
                    <w:rPr>
                      <w:sz w:val="20"/>
                      <w:szCs w:val="20"/>
                    </w:rPr>
                    <w:t>% pcp and amounted to US$</w:t>
                  </w:r>
                  <w:r w:rsidR="00EF6461" w:rsidRPr="000B77CE">
                    <w:rPr>
                      <w:sz w:val="20"/>
                      <w:szCs w:val="20"/>
                    </w:rPr>
                    <w:t>8</w:t>
                  </w:r>
                  <w:r w:rsidR="00EF6461" w:rsidRPr="000B77CE">
                    <w:rPr>
                      <w:sz w:val="20"/>
                      <w:szCs w:val="20"/>
                    </w:rPr>
                    <w:t>00mm.</w:t>
                  </w:r>
                </w:p>
              </w:tc>
              <w:tc>
                <w:tcPr>
                  <w:tcW w:w="2893" w:type="dxa"/>
                </w:tcPr>
                <w:p w14:paraId="2B2F266D" w14:textId="77777777" w:rsidR="00EF6461" w:rsidRPr="000B77CE" w:rsidRDefault="00EF6461" w:rsidP="00653160">
                  <w:pPr>
                    <w:rPr>
                      <w:sz w:val="20"/>
                      <w:szCs w:val="20"/>
                    </w:rPr>
                  </w:pPr>
                  <w:r w:rsidRPr="000B77CE">
                    <w:rPr>
                      <w:sz w:val="20"/>
                      <w:szCs w:val="20"/>
                    </w:rPr>
                    <w:t>It has similar operations to Worldwide Brewing across the same segments and is the leading player in Malaysia, suggesting the potential for strategic benefits and synergies.</w:t>
                  </w:r>
                </w:p>
                <w:p w14:paraId="59B92F63" w14:textId="5292F7D8" w:rsidR="00EF6461" w:rsidRPr="000B77CE" w:rsidRDefault="00EF6461" w:rsidP="00653160">
                  <w:pPr>
                    <w:rPr>
                      <w:sz w:val="20"/>
                      <w:szCs w:val="20"/>
                    </w:rPr>
                  </w:pPr>
                  <w:r w:rsidRPr="000B77CE">
                    <w:rPr>
                      <w:color w:val="111111"/>
                      <w:sz w:val="20"/>
                      <w:szCs w:val="20"/>
                      <w:shd w:val="clear" w:color="auto" w:fill="FFFFFF"/>
                    </w:rPr>
                    <w:t xml:space="preserve">The company is listed on the Malaysian stock exchange and is mostly owned by institutional shareholders. This could provide financial stability </w:t>
                  </w:r>
                  <w:r w:rsidRPr="000B77CE">
                    <w:rPr>
                      <w:color w:val="111111"/>
                      <w:sz w:val="20"/>
                      <w:szCs w:val="20"/>
                      <w:shd w:val="clear" w:color="auto" w:fill="FFFFFF"/>
                    </w:rPr>
                    <w:t>and</w:t>
                  </w:r>
                  <w:r w:rsidRPr="000B77CE">
                    <w:rPr>
                      <w:color w:val="111111"/>
                      <w:sz w:val="20"/>
                      <w:szCs w:val="20"/>
                      <w:shd w:val="clear" w:color="auto" w:fill="FFFFFF"/>
                    </w:rPr>
                    <w:t xml:space="preserve"> indicates a certain level of transparency and regulatory oversight.</w:t>
                  </w:r>
                </w:p>
                <w:p w14:paraId="1842CD1D" w14:textId="31247BCC" w:rsidR="00653160" w:rsidRPr="000B77CE" w:rsidRDefault="00EF6461" w:rsidP="00653160">
                  <w:pPr>
                    <w:rPr>
                      <w:sz w:val="20"/>
                      <w:szCs w:val="20"/>
                    </w:rPr>
                  </w:pPr>
                  <w:r w:rsidRPr="000B77CE">
                    <w:rPr>
                      <w:color w:val="111111"/>
                      <w:sz w:val="20"/>
                      <w:szCs w:val="20"/>
                      <w:shd w:val="clear" w:color="auto" w:fill="FFFFFF"/>
                    </w:rPr>
                    <w:t>The company’s EBITDA for FY June 2020 was US$800 million, down 5% from the previous corresponding period. While this is a significant amount, the decrease in EBITDA might indicate some challenges the company is facing.</w:t>
                  </w:r>
                </w:p>
              </w:tc>
              <w:tc>
                <w:tcPr>
                  <w:tcW w:w="2350" w:type="dxa"/>
                </w:tcPr>
                <w:p w14:paraId="55C39798" w14:textId="324EC2A7" w:rsidR="00653160" w:rsidRPr="000B77CE" w:rsidRDefault="00EF6461" w:rsidP="00653160">
                  <w:pPr>
                    <w:rPr>
                      <w:b/>
                      <w:bCs/>
                      <w:sz w:val="20"/>
                      <w:szCs w:val="20"/>
                    </w:rPr>
                  </w:pPr>
                  <w:r w:rsidRPr="000B77CE">
                    <w:rPr>
                      <w:b/>
                      <w:bCs/>
                      <w:sz w:val="20"/>
                      <w:szCs w:val="20"/>
                    </w:rPr>
                    <w:t xml:space="preserve">Not Recommend </w:t>
                  </w:r>
                </w:p>
              </w:tc>
            </w:tr>
            <w:tr w:rsidR="00653160" w:rsidRPr="000B77CE" w14:paraId="14806F80" w14:textId="77777777" w:rsidTr="009318F6">
              <w:tc>
                <w:tcPr>
                  <w:tcW w:w="1240" w:type="dxa"/>
                </w:tcPr>
                <w:p w14:paraId="6EC317CC" w14:textId="77777777" w:rsidR="00653160" w:rsidRPr="000B77CE" w:rsidRDefault="00653160" w:rsidP="00653160">
                  <w:pPr>
                    <w:rPr>
                      <w:b/>
                      <w:bCs/>
                      <w:sz w:val="20"/>
                      <w:szCs w:val="20"/>
                    </w:rPr>
                  </w:pPr>
                </w:p>
                <w:p w14:paraId="189BB501" w14:textId="1DBEC761" w:rsidR="00653160" w:rsidRPr="000B77CE" w:rsidRDefault="00BE75B1" w:rsidP="00653160">
                  <w:pPr>
                    <w:rPr>
                      <w:b/>
                      <w:bCs/>
                      <w:sz w:val="20"/>
                      <w:szCs w:val="20"/>
                    </w:rPr>
                  </w:pPr>
                  <w:r w:rsidRPr="000B77CE">
                    <w:rPr>
                      <w:b/>
                      <w:bCs/>
                      <w:sz w:val="20"/>
                      <w:szCs w:val="20"/>
                    </w:rPr>
                    <w:t xml:space="preserve">Bevy’s Direct </w:t>
                  </w:r>
                </w:p>
                <w:p w14:paraId="29AAD35F" w14:textId="77777777" w:rsidR="00653160" w:rsidRPr="000B77CE" w:rsidRDefault="00653160" w:rsidP="00653160">
                  <w:pPr>
                    <w:rPr>
                      <w:b/>
                      <w:bCs/>
                      <w:sz w:val="20"/>
                      <w:szCs w:val="20"/>
                    </w:rPr>
                  </w:pPr>
                </w:p>
                <w:p w14:paraId="3B2496FB" w14:textId="77777777" w:rsidR="00653160" w:rsidRPr="000B77CE" w:rsidRDefault="00653160" w:rsidP="00653160">
                  <w:pPr>
                    <w:rPr>
                      <w:b/>
                      <w:bCs/>
                      <w:sz w:val="20"/>
                      <w:szCs w:val="20"/>
                    </w:rPr>
                  </w:pPr>
                </w:p>
                <w:p w14:paraId="1A658F42" w14:textId="197BBD94" w:rsidR="00653160" w:rsidRPr="000B77CE" w:rsidRDefault="00653160" w:rsidP="00653160">
                  <w:pPr>
                    <w:rPr>
                      <w:b/>
                      <w:bCs/>
                      <w:sz w:val="20"/>
                      <w:szCs w:val="20"/>
                    </w:rPr>
                  </w:pPr>
                </w:p>
              </w:tc>
              <w:tc>
                <w:tcPr>
                  <w:tcW w:w="2647" w:type="dxa"/>
                </w:tcPr>
                <w:p w14:paraId="45359624" w14:textId="62146734" w:rsidR="00653160" w:rsidRPr="000B77CE" w:rsidRDefault="000B77CE" w:rsidP="00653160">
                  <w:pPr>
                    <w:rPr>
                      <w:sz w:val="20"/>
                      <w:szCs w:val="20"/>
                    </w:rPr>
                  </w:pPr>
                  <w:r w:rsidRPr="000B77CE">
                    <w:rPr>
                      <w:sz w:val="20"/>
                      <w:szCs w:val="20"/>
                      <w:lang w:val="en-US"/>
                    </w:rPr>
                    <w:t xml:space="preserve">Bevy’s Direct </w:t>
                  </w:r>
                  <w:r w:rsidRPr="000B77CE">
                    <w:rPr>
                      <w:sz w:val="20"/>
                      <w:szCs w:val="20"/>
                    </w:rPr>
                    <w:t>is</w:t>
                  </w:r>
                  <w:r w:rsidR="00BE75B1" w:rsidRPr="000B77CE">
                    <w:rPr>
                      <w:sz w:val="20"/>
                      <w:szCs w:val="20"/>
                    </w:rPr>
                    <w:t xml:space="preserve"> </w:t>
                  </w:r>
                  <w:r w:rsidR="00BE75B1" w:rsidRPr="000B77CE">
                    <w:rPr>
                      <w:sz w:val="20"/>
                      <w:szCs w:val="20"/>
                    </w:rPr>
                    <w:t xml:space="preserve">a renowned </w:t>
                  </w:r>
                  <w:r w:rsidR="00BE75B1" w:rsidRPr="000B77CE">
                    <w:rPr>
                      <w:sz w:val="20"/>
                      <w:szCs w:val="20"/>
                    </w:rPr>
                    <w:t xml:space="preserve">player in </w:t>
                  </w:r>
                  <w:r w:rsidR="00BE75B1" w:rsidRPr="000B77CE">
                    <w:rPr>
                      <w:sz w:val="20"/>
                      <w:szCs w:val="20"/>
                    </w:rPr>
                    <w:t xml:space="preserve">different countries say </w:t>
                  </w:r>
                  <w:r w:rsidR="00BE75B1" w:rsidRPr="000B77CE">
                    <w:rPr>
                      <w:sz w:val="20"/>
                      <w:szCs w:val="20"/>
                    </w:rPr>
                    <w:t>Malaysia,</w:t>
                  </w:r>
                  <w:r w:rsidR="00BE75B1" w:rsidRPr="000B77CE">
                    <w:rPr>
                      <w:sz w:val="20"/>
                      <w:szCs w:val="20"/>
                    </w:rPr>
                    <w:t xml:space="preserve"> China, New Zealand and more in</w:t>
                  </w:r>
                  <w:r w:rsidR="00BE75B1" w:rsidRPr="000B77CE">
                    <w:rPr>
                      <w:sz w:val="20"/>
                      <w:szCs w:val="20"/>
                    </w:rPr>
                    <w:t xml:space="preserve"> the segments of beer, </w:t>
                  </w:r>
                  <w:r w:rsidRPr="000B77CE">
                    <w:rPr>
                      <w:sz w:val="20"/>
                      <w:szCs w:val="20"/>
                    </w:rPr>
                    <w:t>spirits,</w:t>
                  </w:r>
                  <w:r w:rsidR="00BE75B1" w:rsidRPr="000B77CE">
                    <w:rPr>
                      <w:sz w:val="20"/>
                      <w:szCs w:val="20"/>
                    </w:rPr>
                    <w:t xml:space="preserve"> and non-alcoholic beverages. Its operations includ</w:t>
                  </w:r>
                  <w:r w:rsidR="00BE75B1" w:rsidRPr="000B77CE">
                    <w:rPr>
                      <w:sz w:val="20"/>
                      <w:szCs w:val="20"/>
                    </w:rPr>
                    <w:t xml:space="preserve">e Wholesales Distribution only  </w:t>
                  </w:r>
                  <w:r w:rsidR="00BE75B1" w:rsidRPr="000B77CE">
                    <w:rPr>
                      <w:sz w:val="20"/>
                      <w:szCs w:val="20"/>
                    </w:rPr>
                    <w:t xml:space="preserve"> it has demonstrated strong growth in EBITDA in FY2020 which was up 20% pcp and amounted to US$</w:t>
                  </w:r>
                  <w:r w:rsidR="00BE75B1" w:rsidRPr="000B77CE">
                    <w:rPr>
                      <w:sz w:val="20"/>
                      <w:szCs w:val="20"/>
                    </w:rPr>
                    <w:t>25</w:t>
                  </w:r>
                  <w:r w:rsidR="00BE75B1" w:rsidRPr="000B77CE">
                    <w:rPr>
                      <w:sz w:val="20"/>
                      <w:szCs w:val="20"/>
                    </w:rPr>
                    <w:t>0mm.</w:t>
                  </w:r>
                </w:p>
              </w:tc>
              <w:tc>
                <w:tcPr>
                  <w:tcW w:w="2893" w:type="dxa"/>
                </w:tcPr>
                <w:p w14:paraId="33CDC1A4" w14:textId="61D26DCF" w:rsidR="00653160" w:rsidRPr="000B77CE" w:rsidRDefault="00BE75B1" w:rsidP="00653160">
                  <w:pPr>
                    <w:rPr>
                      <w:sz w:val="20"/>
                      <w:szCs w:val="20"/>
                    </w:rPr>
                  </w:pPr>
                  <w:r w:rsidRPr="000B77CE">
                    <w:rPr>
                      <w:color w:val="111111"/>
                      <w:sz w:val="20"/>
                      <w:szCs w:val="20"/>
                      <w:shd w:val="clear" w:color="auto" w:fill="FFFFFF"/>
                    </w:rPr>
                    <w:t>The company operates in wholesale distribution only. This could mean lower operating costs compared to manufacturing, but it also means the company is dependent on its suppliers for product quality and availability.</w:t>
                  </w:r>
                  <w:r w:rsidRPr="000B77CE">
                    <w:rPr>
                      <w:color w:val="111111"/>
                      <w:sz w:val="20"/>
                      <w:szCs w:val="20"/>
                      <w:shd w:val="clear" w:color="auto" w:fill="FFFFFF"/>
                    </w:rPr>
                    <w:t xml:space="preserve"> </w:t>
                  </w:r>
                  <w:r w:rsidRPr="000B77CE">
                    <w:rPr>
                      <w:color w:val="111111"/>
                      <w:sz w:val="20"/>
                      <w:szCs w:val="20"/>
                      <w:shd w:val="clear" w:color="auto" w:fill="FFFFFF"/>
                    </w:rPr>
                    <w:t xml:space="preserve">The company is owned by a single family. This could mean more streamlined decision-making, but it could also present risks in terms of succession planning and </w:t>
                  </w:r>
                  <w:r w:rsidRPr="000B77CE">
                    <w:rPr>
                      <w:color w:val="111111"/>
                      <w:sz w:val="20"/>
                      <w:szCs w:val="20"/>
                      <w:shd w:val="clear" w:color="auto" w:fill="FFFFFF"/>
                    </w:rPr>
                    <w:lastRenderedPageBreak/>
                    <w:t>diversity of ideas.</w:t>
                  </w:r>
                  <w:r w:rsidRPr="000B77CE">
                    <w:rPr>
                      <w:color w:val="111111"/>
                      <w:sz w:val="20"/>
                      <w:szCs w:val="20"/>
                      <w:shd w:val="clear" w:color="auto" w:fill="FFFFFF"/>
                    </w:rPr>
                    <w:t xml:space="preserve"> </w:t>
                  </w:r>
                  <w:r w:rsidRPr="000B77CE">
                    <w:rPr>
                      <w:color w:val="111111"/>
                      <w:sz w:val="20"/>
                      <w:szCs w:val="20"/>
                      <w:shd w:val="clear" w:color="auto" w:fill="FFFFFF"/>
                    </w:rPr>
                    <w:t>The company’s EBITDA for FY June 2020 was US$250 million, up 20% from the previous corresponding period. This indicates a positive financial performance.</w:t>
                  </w:r>
                </w:p>
              </w:tc>
              <w:tc>
                <w:tcPr>
                  <w:tcW w:w="2350" w:type="dxa"/>
                </w:tcPr>
                <w:p w14:paraId="778A6CE4" w14:textId="6BD237EF" w:rsidR="00653160" w:rsidRPr="000B77CE" w:rsidRDefault="00BE75B1" w:rsidP="00653160">
                  <w:pPr>
                    <w:rPr>
                      <w:b/>
                      <w:bCs/>
                      <w:sz w:val="20"/>
                      <w:szCs w:val="20"/>
                    </w:rPr>
                  </w:pPr>
                  <w:r w:rsidRPr="000B77CE">
                    <w:rPr>
                      <w:b/>
                      <w:bCs/>
                      <w:sz w:val="20"/>
                      <w:szCs w:val="20"/>
                    </w:rPr>
                    <w:lastRenderedPageBreak/>
                    <w:t xml:space="preserve"> Recommned</w:t>
                  </w:r>
                </w:p>
              </w:tc>
            </w:tr>
          </w:tbl>
          <w:p w14:paraId="0A5AED62" w14:textId="77777777" w:rsidR="00DC3063" w:rsidRPr="000B77CE" w:rsidRDefault="00DC3063" w:rsidP="00DC3063">
            <w:pPr>
              <w:rPr>
                <w:sz w:val="20"/>
                <w:szCs w:val="20"/>
              </w:rPr>
            </w:pPr>
          </w:p>
          <w:p w14:paraId="1BEF0779" w14:textId="77777777" w:rsidR="00DC3063" w:rsidRPr="000B77CE" w:rsidRDefault="00DC3063" w:rsidP="00DC3063">
            <w:pPr>
              <w:rPr>
                <w:sz w:val="20"/>
                <w:szCs w:val="20"/>
              </w:rPr>
            </w:pPr>
          </w:p>
          <w:p w14:paraId="29AC49A7" w14:textId="6D826C4F" w:rsidR="00DC3063" w:rsidRDefault="000B77CE" w:rsidP="00DC3063">
            <w:pPr>
              <w:rPr>
                <w:sz w:val="20"/>
                <w:szCs w:val="20"/>
                <w:lang w:val="en-US"/>
              </w:rPr>
            </w:pPr>
            <w:r w:rsidRPr="000B77CE">
              <w:rPr>
                <w:sz w:val="20"/>
                <w:szCs w:val="20"/>
                <w:lang w:val="en-US"/>
              </w:rPr>
              <w:t>Hopefully, this study c</w:t>
            </w:r>
            <w:r>
              <w:rPr>
                <w:sz w:val="20"/>
                <w:szCs w:val="20"/>
                <w:lang w:val="en-US"/>
              </w:rPr>
              <w:t xml:space="preserve">ould help our company to better understand the pros and cons of future investors. </w:t>
            </w:r>
          </w:p>
          <w:p w14:paraId="51E6343B" w14:textId="4A6AEB58" w:rsidR="000B77CE" w:rsidRDefault="000B77CE" w:rsidP="00DC3063">
            <w:pPr>
              <w:rPr>
                <w:sz w:val="20"/>
                <w:szCs w:val="20"/>
                <w:lang w:val="en-US"/>
              </w:rPr>
            </w:pPr>
            <w:r>
              <w:rPr>
                <w:sz w:val="20"/>
                <w:szCs w:val="20"/>
                <w:lang w:val="en-US"/>
              </w:rPr>
              <w:t xml:space="preserve">Thanks, and regards, </w:t>
            </w:r>
          </w:p>
          <w:p w14:paraId="37ABF5ED" w14:textId="2C2EC765" w:rsidR="000B77CE" w:rsidRPr="000B77CE" w:rsidRDefault="000B77CE" w:rsidP="00DC3063">
            <w:pPr>
              <w:rPr>
                <w:sz w:val="20"/>
                <w:szCs w:val="20"/>
                <w:lang w:val="en-US"/>
              </w:rPr>
            </w:pPr>
            <w:r>
              <w:rPr>
                <w:sz w:val="20"/>
                <w:szCs w:val="20"/>
                <w:lang w:val="en-US"/>
              </w:rPr>
              <w:t xml:space="preserve">Hemant Garg </w:t>
            </w:r>
          </w:p>
          <w:p w14:paraId="5CF1D96A" w14:textId="3BFE666D" w:rsidR="00DC3063" w:rsidRPr="000B77CE" w:rsidRDefault="00DC3063" w:rsidP="00DC3063">
            <w:pPr>
              <w:rPr>
                <w:b/>
                <w:i/>
                <w:sz w:val="20"/>
                <w:szCs w:val="20"/>
                <w:lang w:val="en-US"/>
              </w:rPr>
            </w:pPr>
          </w:p>
        </w:tc>
      </w:tr>
    </w:tbl>
    <w:p w14:paraId="28D81A7E" w14:textId="77777777" w:rsidR="00000000" w:rsidRPr="00990745" w:rsidRDefault="00000000">
      <w:pPr>
        <w:rPr>
          <w:sz w:val="20"/>
          <w:szCs w:val="20"/>
        </w:rPr>
      </w:pPr>
    </w:p>
    <w:sectPr w:rsidR="00A90157" w:rsidRPr="00990745" w:rsidSect="008C6B0F">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B65CFF"/>
    <w:multiLevelType w:val="multilevel"/>
    <w:tmpl w:val="D862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9184126">
    <w:abstractNumId w:val="1"/>
  </w:num>
  <w:num w:numId="2" w16cid:durableId="237639056">
    <w:abstractNumId w:val="3"/>
  </w:num>
  <w:num w:numId="3" w16cid:durableId="2068528724">
    <w:abstractNumId w:val="0"/>
  </w:num>
  <w:num w:numId="4" w16cid:durableId="916325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B77CE"/>
    <w:rsid w:val="000D64E1"/>
    <w:rsid w:val="001931C6"/>
    <w:rsid w:val="0039065E"/>
    <w:rsid w:val="004F2ECF"/>
    <w:rsid w:val="00653160"/>
    <w:rsid w:val="006624F4"/>
    <w:rsid w:val="006776F6"/>
    <w:rsid w:val="00861BD9"/>
    <w:rsid w:val="008C6B0F"/>
    <w:rsid w:val="008E07B5"/>
    <w:rsid w:val="00990745"/>
    <w:rsid w:val="009B6A6C"/>
    <w:rsid w:val="00AF0A56"/>
    <w:rsid w:val="00AF616A"/>
    <w:rsid w:val="00BE75B1"/>
    <w:rsid w:val="00DC3063"/>
    <w:rsid w:val="00DC50E8"/>
    <w:rsid w:val="00DD42CB"/>
    <w:rsid w:val="00E2685D"/>
    <w:rsid w:val="00EC7B2A"/>
    <w:rsid w:val="00EF6461"/>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5B1"/>
    <w:pPr>
      <w:spacing w:after="0" w:line="240" w:lineRule="auto"/>
    </w:pPr>
    <w:rPr>
      <w:rFonts w:ascii="Times New Roman" w:eastAsia="Times New Roman" w:hAnsi="Times New Roman" w:cs="Times New Roman"/>
      <w:sz w:val="24"/>
      <w:szCs w:val="24"/>
      <w:lang w:val="en-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 w:type="paragraph" w:styleId="NormalWeb">
    <w:name w:val="Normal (Web)"/>
    <w:basedOn w:val="Normal"/>
    <w:uiPriority w:val="99"/>
    <w:semiHidden/>
    <w:unhideWhenUsed/>
    <w:rsid w:val="00BE75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39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hemant garg</cp:lastModifiedBy>
  <cp:revision>4</cp:revision>
  <cp:lastPrinted>2018-09-03T23:29:00Z</cp:lastPrinted>
  <dcterms:created xsi:type="dcterms:W3CDTF">2020-04-30T07:35:00Z</dcterms:created>
  <dcterms:modified xsi:type="dcterms:W3CDTF">2024-01-31T10:41:00Z</dcterms:modified>
</cp:coreProperties>
</file>