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Occam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April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summary-analysis"/>
      <w:bookmarkEnd w:id="21"/>
      <w:r>
        <w:t xml:space="preserve">Summary Analysis</w:t>
      </w:r>
    </w:p>
    <w:p>
      <w:pPr>
        <w:pStyle w:val="FirstParagraph"/>
      </w:pPr>
      <w:r>
        <w:t xml:space="preserve">The total number of barrels of crude oil imports in Canada was 6.3704332</w:t>
      </w:r>
      <w:r>
        <w:t xml:space="preserve">10^{8}</w:t>
      </w:r>
    </w:p>
    <w:p>
      <w:pPr>
        <w:pStyle w:val="Heading2"/>
      </w:pPr>
      <w:bookmarkStart w:id="22" w:name="energy-profile-for-canada"/>
      <w:bookmarkEnd w:id="22"/>
      <w:r>
        <w:t xml:space="preserve">Energy Profile for Canada</w:t>
      </w:r>
    </w:p>
    <w:p>
      <w:pPr>
        <w:pStyle w:val="SourceCode"/>
      </w:pP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cdc4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Occam</dc:creator>
  <dcterms:created xsi:type="dcterms:W3CDTF">2018-04-24T16:22:43Z</dcterms:created>
  <dcterms:modified xsi:type="dcterms:W3CDTF">2018-04-24T16:22:43Z</dcterms:modified>
</cp:coreProperties>
</file>