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00" w:line="240" w:lineRule="auto"/>
        <w:jc w:val="center"/>
        <w:rPr>
          <w:rFonts w:ascii="Rubik" w:cs="Rubik" w:eastAsia="Rubik" w:hAnsi="Rubik"/>
          <w:b w:val="1"/>
          <w:bCs w:val="1"/>
          <w:color w:val="134f5c"/>
          <w:sz w:val="40"/>
          <w:szCs w:val="40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34f5c"/>
          <w:sz w:val="40"/>
          <w:szCs w:val="40"/>
          <w:rtl w:val="0"/>
        </w:rPr>
        <w:t xml:space="preserve">Elena R. Whitaker | Academic Program Coordinator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Brookfield, Colorado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(970) 555-XXXX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 elena.whitaker@enhancv.com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ubik" w:cs="Rubik" w:eastAsia="Rubik" w:hAnsi="Rubik"/>
          <w:color w:val="2828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15"/>
        <w:gridCol w:w="1950"/>
        <w:tblGridChange w:id="0">
          <w:tblGrid>
            <w:gridCol w:w="8415"/>
            <w:gridCol w:w="195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8"/>
                <w:szCs w:val="2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300" w:lineRule="auto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300" w:lineRule="auto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82828"/>
                <w:sz w:val="20"/>
                <w:szCs w:val="20"/>
                <w:rtl w:val="0"/>
              </w:rPr>
              <w:t xml:space="preserve">Bachelor of Science in 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300" w:lineRule="auto"/>
              <w:rPr>
                <w:rFonts w:ascii="Rubik" w:cs="Rubik" w:eastAsia="Rubik" w:hAnsi="Rubik"/>
                <w:color w:val="134f5c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134f5c"/>
                <w:sz w:val="20"/>
                <w:szCs w:val="20"/>
                <w:rtl w:val="0"/>
              </w:rPr>
              <w:t xml:space="preserve">University of Idaho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300" w:lineRule="auto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Relevant Coursework: Instructional Design, Educational Psychology, Assessment &amp; Evaluation, Learning Technologies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300" w:lineRule="auto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Moscow, ID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2020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="300" w:lineRule="auto"/>
              <w:rPr>
                <w:rFonts w:ascii="Rubik" w:cs="Rubik" w:eastAsia="Rubik" w:hAnsi="Rubik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300" w:lineRule="auto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282828"/>
                <w:sz w:val="20"/>
                <w:szCs w:val="20"/>
                <w:rtl w:val="0"/>
              </w:rPr>
              <w:t xml:space="preserve">Associate of Arts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300" w:lineRule="auto"/>
              <w:rPr>
                <w:rFonts w:ascii="Rubik" w:cs="Rubik" w:eastAsia="Rubik" w:hAnsi="Rubik"/>
                <w:color w:val="134f5c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134f5c"/>
                <w:sz w:val="20"/>
                <w:szCs w:val="20"/>
                <w:rtl w:val="0"/>
              </w:rPr>
              <w:t xml:space="preserve">North Idaho College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300" w:lineRule="auto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Coeur d’Alene, ID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2018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Rubik" w:cs="Rubik" w:eastAsia="Rubik" w:hAnsi="Rubi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8"/>
                <w:szCs w:val="28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312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312" w:lineRule="auto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0"/>
                <w:szCs w:val="20"/>
                <w:rtl w:val="0"/>
              </w:rPr>
              <w:t xml:space="preserve">Academic Program Coordinator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312" w:lineRule="auto"/>
              <w:rPr>
                <w:rFonts w:ascii="Rubik" w:cs="Rubik" w:eastAsia="Rubik" w:hAnsi="Rubik"/>
                <w:color w:val="134f5c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134f5c"/>
                <w:sz w:val="20"/>
                <w:szCs w:val="20"/>
                <w:rtl w:val="0"/>
              </w:rPr>
              <w:t xml:space="preserve">Idaho Center for Higher Learning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Spearheaded curriculum alignment for 5 programs, identifying 12 instructional gaps to ensure 100% compliance with state standards.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Optimized academic scheduling for 2,500+ students, reducing course conflicts by 25% through a new centralized digital tracker.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Implemented standardized assessments across 40+ courses, increasing measurable learning outcomes by 15% in one year.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312" w:lineRule="auto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312" w:lineRule="auto"/>
              <w:jc w:val="right"/>
              <w:rPr>
                <w:rFonts w:ascii="Rubik" w:cs="Rubik" w:eastAsia="Rubik" w:hAnsi="Rubik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312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Boise, ID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312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August 2021 – Present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312" w:lineRule="auto"/>
              <w:jc w:val="right"/>
              <w:rPr>
                <w:rFonts w:ascii="Rubik" w:cs="Rubik" w:eastAsia="Rubik" w:hAnsi="Rubik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312" w:lineRule="auto"/>
              <w:rPr>
                <w:rFonts w:ascii="Rubik" w:cs="Rubik" w:eastAsia="Rubik" w:hAnsi="Rubi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0"/>
                <w:szCs w:val="20"/>
                <w:rtl w:val="0"/>
              </w:rPr>
              <w:t xml:space="preserve">Instructional Support Specialist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312" w:lineRule="auto"/>
              <w:rPr>
                <w:rFonts w:ascii="Rubik" w:cs="Rubik" w:eastAsia="Rubik" w:hAnsi="Rubik"/>
                <w:color w:val="134f5c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134f5c"/>
                <w:sz w:val="20"/>
                <w:szCs w:val="20"/>
                <w:rtl w:val="0"/>
              </w:rPr>
              <w:t xml:space="preserve">University of Idaho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Supported 45+ faculty in transitioning 12 programs to online formats while maintaining a 95% faculty satisfaction rating.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Led LMS migration and updates, resulting in a 30% reduction in technical support tickets through proactive resource design.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Audited 80+ course modules for institutional standards, achieving 100% ADA accessibility compliance across all digital assets.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312" w:lineRule="auto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312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Moscow, ID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312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June 2020 – July 2021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312" w:lineRule="auto"/>
              <w:jc w:val="right"/>
              <w:rPr>
                <w:rFonts w:ascii="Rubik" w:cs="Rubik" w:eastAsia="Rubik" w:hAnsi="Rubik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Rubik" w:cs="Rubik" w:eastAsia="Rubik" w:hAnsi="Rubik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8"/>
                <w:szCs w:val="28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300" w:lineRule="auto"/>
              <w:rPr>
                <w:rFonts w:ascii="Rubik" w:cs="Rubik" w:eastAsia="Rubik" w:hAnsi="Rubi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312" w:lineRule="auto"/>
              <w:rPr>
                <w:rFonts w:ascii="Rubik" w:cs="Rubik" w:eastAsia="Rubik" w:hAnsi="Rubik"/>
                <w:color w:val="134f5c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134f5c"/>
                <w:sz w:val="20"/>
                <w:szCs w:val="20"/>
                <w:rtl w:val="0"/>
              </w:rPr>
              <w:t xml:space="preserve">Curriculum Redesign Initiative</w:t>
            </w:r>
            <w:r w:rsidDel="00000000" w:rsidR="00000000" w:rsidRPr="00000000">
              <w:rPr>
                <w:rFonts w:ascii="Rubik" w:cs="Rubik" w:eastAsia="Rubik" w:hAnsi="Rubik"/>
                <w:color w:val="134f5c"/>
                <w:sz w:val="20"/>
                <w:szCs w:val="20"/>
                <w:rtl w:val="0"/>
              </w:rPr>
              <w:tab/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Description: Comprehensive review and redesign of undergraduate program 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Role: Led curriculum mapping, coordinated faculty workshops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Technologies used: Canvas LMS, Microsoft Excel, Google Workspace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Outcome: Successful accreditation review with no required revisions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300" w:lineRule="auto"/>
              <w:rPr>
                <w:rFonts w:ascii="Rubik" w:cs="Rubik" w:eastAsia="Rubik" w:hAnsi="Rubik"/>
                <w:color w:val="282828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2022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Rubik" w:cs="Rubik" w:eastAsia="Rubik" w:hAnsi="Rubi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8"/>
                <w:szCs w:val="28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300" w:lineRule="auto"/>
              <w:rPr>
                <w:rFonts w:ascii="Rubik" w:cs="Rubik" w:eastAsia="Rubik" w:hAnsi="Rubi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312" w:lineRule="auto"/>
              <w:rPr>
                <w:rFonts w:ascii="Rubik" w:cs="Rubik" w:eastAsia="Rubik" w:hAnsi="Rubik"/>
                <w:color w:val="134f5c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134f5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color w:val="134f5c"/>
                <w:sz w:val="20"/>
                <w:szCs w:val="20"/>
                <w:rtl w:val="0"/>
              </w:rPr>
              <w:t xml:space="preserve">ertified Academic Advisor (CAA)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Description: Professional certification focused on academic advising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after="0" w:line="312" w:lineRule="auto"/>
              <w:ind w:left="720" w:hanging="360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sz w:val="20"/>
                <w:szCs w:val="20"/>
                <w:rtl w:val="0"/>
              </w:rPr>
              <w:t xml:space="preserve">Skills Developed: Student guidance, degree planning, academic policy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300" w:lineRule="auto"/>
              <w:rPr>
                <w:rFonts w:ascii="Rubik" w:cs="Rubik" w:eastAsia="Rubik" w:hAnsi="Rubik"/>
                <w:color w:val="282828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18"/>
                <w:szCs w:val="18"/>
                <w:rtl w:val="0"/>
              </w:rPr>
              <w:t xml:space="preserve">2021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300" w:lineRule="auto"/>
              <w:jc w:val="right"/>
              <w:rPr>
                <w:rFonts w:ascii="Rubik" w:cs="Rubik" w:eastAsia="Rubik" w:hAnsi="Rubik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Rubik" w:cs="Rubik" w:eastAsia="Rubik" w:hAnsi="Rubi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8"/>
                <w:szCs w:val="28"/>
                <w:rtl w:val="0"/>
              </w:rPr>
              <w:t xml:space="preserve">SKILLS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300" w:lineRule="auto"/>
              <w:rPr>
                <w:rFonts w:ascii="Rubik" w:cs="Rubik" w:eastAsia="Rubik" w:hAnsi="Rubik"/>
                <w:b w:val="1"/>
                <w:bCs w:val="1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312" w:lineRule="auto"/>
              <w:rPr>
                <w:rFonts w:ascii="Rubik" w:cs="Rubik" w:eastAsia="Rubik" w:hAnsi="Rubik"/>
                <w:color w:val="282828"/>
                <w:sz w:val="20"/>
                <w:szCs w:val="20"/>
              </w:rPr>
            </w:pPr>
            <w:r w:rsidDel="00000000" w:rsidR="00000000" w:rsidRPr="00000000">
              <w:rPr>
                <w:rFonts w:ascii="Rubik" w:cs="Rubik" w:eastAsia="Rubik" w:hAnsi="Rubik"/>
                <w:color w:val="282828"/>
                <w:sz w:val="20"/>
                <w:szCs w:val="20"/>
                <w:rtl w:val="0"/>
              </w:rPr>
              <w:t xml:space="preserve">LMS (Canvas, Blackboard), Microsoft Office Suite, Google Workspace, Academic Reporting Tools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rFonts w:ascii="Rubik" w:cs="Rubik" w:eastAsia="Rubik" w:hAnsi="Rubik"/>
          <w:b w:val="1"/>
          <w:bCs w:val="1"/>
          <w:color w:val="162e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ubik" w:cs="Rubik" w:eastAsia="Rubik" w:hAnsi="Rubik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34f5c"/>
          <w:sz w:val="26"/>
          <w:szCs w:val="26"/>
          <w:rtl w:val="0"/>
        </w:rPr>
        <w:t xml:space="preserve">Thank You for Using Enhancv!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ubik" w:cs="Rubik" w:eastAsia="Rubik" w:hAnsi="Rubik"/>
          <w:b w:val="1"/>
          <w:bCs w:val="1"/>
          <w:color w:val="162e66"/>
          <w:sz w:val="26"/>
          <w:szCs w:val="26"/>
        </w:rPr>
      </w:pPr>
      <w:hyperlink r:id="rId7">
        <w:r w:rsidDel="00000000" w:rsidR="00000000" w:rsidRPr="00000000">
          <w:rPr>
            <w:rFonts w:ascii="Rubik" w:cs="Rubik" w:eastAsia="Rubik" w:hAnsi="Rubik"/>
            <w:b w:val="1"/>
            <w:bCs w:val="1"/>
            <w:color w:val="1155cc"/>
            <w:sz w:val="26"/>
            <w:szCs w:val="26"/>
            <w:u w:val="single"/>
          </w:rPr>
          <w:drawing>
            <wp:inline distB="114300" distT="114300" distL="114300" distR="114300">
              <wp:extent cx="2887651" cy="525028"/>
              <wp:effectExtent b="0" l="0" r="0" t="0"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87651" cy="52502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Rubik" w:cs="Rubik" w:eastAsia="Rubik" w:hAnsi="Rubik"/>
          <w:b w:val="1"/>
          <w:bCs w:val="1"/>
          <w:color w:val="162e66"/>
          <w:sz w:val="26"/>
          <w:szCs w:val="26"/>
          <w:rtl w:val="0"/>
        </w:rPr>
        <w:t xml:space="preserve">      </w:t>
      </w:r>
      <w:hyperlink r:id="rId9">
        <w:r w:rsidDel="00000000" w:rsidR="00000000" w:rsidRPr="00000000">
          <w:rPr>
            <w:rFonts w:ascii="Rubik" w:cs="Rubik" w:eastAsia="Rubik" w:hAnsi="Rubik"/>
            <w:b w:val="1"/>
            <w:bCs w:val="1"/>
            <w:color w:val="1155cc"/>
            <w:sz w:val="26"/>
            <w:szCs w:val="26"/>
            <w:u w:val="single"/>
          </w:rPr>
          <w:drawing>
            <wp:inline distB="114300" distT="114300" distL="114300" distR="114300">
              <wp:extent cx="2546531" cy="536560"/>
              <wp:effectExtent b="0" l="0" r="0" t="0"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6531" cy="53656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 wanted to personally thank you for choosing an Enhancv resume template while preparing your application.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Looking for a new role takes courage, focus, and persistence. You invested real effort into presenting your experience clearly and honestly, and that matters. A resume is more than a document. It reflects your choices, your priorities, and the work you stand behind.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If you would like to explore everything our platform offers, you can visit </w:t>
      </w:r>
      <w:hyperlink r:id="rId11">
        <w:r w:rsidDel="00000000" w:rsidR="00000000" w:rsidRPr="00000000">
          <w:rPr>
            <w:rFonts w:ascii="Rubik" w:cs="Rubik" w:eastAsia="Rubik" w:hAnsi="Rubik"/>
            <w:color w:val="1155cc"/>
            <w:u w:val="single"/>
            <w:rtl w:val="0"/>
          </w:rPr>
          <w:t xml:space="preserve">https://enhancv.com</w:t>
        </w:r>
      </w:hyperlink>
      <w:r w:rsidDel="00000000" w:rsidR="00000000" w:rsidRPr="00000000">
        <w:rPr>
          <w:rFonts w:ascii="Rubik" w:cs="Rubik" w:eastAsia="Rubik" w:hAnsi="Rubik"/>
          <w:rtl w:val="0"/>
        </w:rPr>
        <w:t xml:space="preserve">. There, you’ll have access to tools such as: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Resume checks with real-time feedback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ATS compatibility insights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AI-powered content suggestions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Cover letter creation and customization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lineRule="auto"/>
        <w:ind w:left="72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Role-specific guidance to improve clarity and impact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At Enhancv, we build tools for people who take their next step seriously. Seeing our templates and platform support job seekers like you is why we do this work.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Thank you for trusting us during an important moment in your career. I wish you confidence in your applications and success in the opportunities ahead.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ubik" w:cs="Rubik" w:eastAsia="Rubik" w:hAnsi="Rubik"/>
          <w:b w:val="1"/>
          <w:bCs w:val="1"/>
        </w:rPr>
      </w:pPr>
      <w:r w:rsidDel="00000000" w:rsidR="00000000" w:rsidRPr="00000000">
        <w:rPr>
          <w:rFonts w:ascii="Rubik" w:cs="Rubik" w:eastAsia="Rubik" w:hAnsi="Rubik"/>
          <w:rtl w:val="0"/>
        </w:rPr>
        <w:t xml:space="preserve">Warm regards,</w:t>
        <w:br w:type="textWrapping"/>
      </w:r>
      <w:r w:rsidDel="00000000" w:rsidR="00000000" w:rsidRPr="00000000">
        <w:rPr>
          <w:rFonts w:ascii="Rubik" w:cs="Rubik" w:eastAsia="Rubik" w:hAnsi="Rubik"/>
          <w:b w:val="1"/>
          <w:bCs w:val="1"/>
          <w:color w:val="134f5c"/>
          <w:rtl w:val="0"/>
        </w:rPr>
        <w:t xml:space="preserve">Volen Vulkov</w:t>
      </w:r>
      <w:r w:rsidDel="00000000" w:rsidR="00000000" w:rsidRPr="00000000">
        <w:rPr>
          <w:rFonts w:ascii="Rubik" w:cs="Rubik" w:eastAsia="Rubik" w:hAnsi="Rubik"/>
          <w:color w:val="134f5c"/>
          <w:rtl w:val="0"/>
        </w:rPr>
        <w:br w:type="textWrapping"/>
      </w:r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Co-Founder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62e66"/>
        </w:rPr>
        <w:drawing>
          <wp:inline distB="114300" distT="114300" distL="114300" distR="114300">
            <wp:extent cx="1239203" cy="2057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203" cy="20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Bitter" w:cs="Bitter" w:eastAsia="Bitter" w:hAnsi="Bitter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425.1968503937008" w:right="425.1968503937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Bit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nhancv.com" TargetMode="External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hyperlink" Target="https://enhancv.com/resources/resume-checke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enhancv.com/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itter-regular.ttf"/><Relationship Id="rId2" Type="http://schemas.openxmlformats.org/officeDocument/2006/relationships/font" Target="fonts/Bitter-bold.ttf"/><Relationship Id="rId3" Type="http://schemas.openxmlformats.org/officeDocument/2006/relationships/font" Target="fonts/Bitter-italic.ttf"/><Relationship Id="rId4" Type="http://schemas.openxmlformats.org/officeDocument/2006/relationships/font" Target="fonts/Bitter-boldItalic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W/HVJiRCE0mgce2ovzj2gmZ0rw==">CgMxLjA4AHIhMTZGNTNXZTE3VjVsZ0l5NmxwMzhucFBkNGZiOW90ZG9M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