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Forward Deployed Engineer with 2.5 years of experience designing, deploying, and scaling enterprise AI agent architectures and distributed platforms across 90+ client cloud environments. Expert in implementing fine-tuned LLM workflows, runtime semantic retrieval, and high-performance data pipelines that drive system reliability and integration.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centralized data architectures as sole engineer to resolve production reliability failures and support enterprise AI integration across 90+ client cloud environments.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Accelerated client deployment speed, achieving a 98% overall onboarding reduction (15 days to &lt;3 hours) across two architectural iterations of system scaling.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Owned engineering coordination for production onboarding across 90+ enterprise environments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 and user documentation,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strategic migration of 7 enterprise workflows to a Kubernetes-backed Spark platform, achieving a 40% reduction in processing time to optimize cloud architecture for AI deployment.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Architected a grammar-driven log obfuscation engine (ANTLR) that resolved a compliance-critical deployment blocker for over 15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Formulated a grammar-driven query decomposition engine (ANTLR) powering performance recommendations and QA user-journey reconstruction.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an agentic data pipeline transforming metadata and usage logs across 4 entity types into a structured semantic knowledge layer.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on a bipartite graph combining structural connectivity with usage scoring across 4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Implemented and optimized a two-pass fine-tuned LLM workflow generating a domain-grounded semantic model (15-cluster knowledge layer) for enterprise AI.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a skills-based AI agent architecture with deterministic reasoning and runtime semantic retrieval, driving a 60% reduction in query resolution time.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