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Detail-oriented Visual Designer with a robust background in translating strategic direction and creative briefs into concept-driven visual ideas. Expert in maintaining brand consistency and executing integrated marketing campaigns across digital, social, and print channels.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Executed creative concepts and integrated marketing campaigns across digital and print channels, resolving visual consistency challenges across 90+ enterprise client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Partnered closely with cross-functional teams to translate creative briefs and strategic direction into strong visual design solutions, achieving a 98% reduction in turnaround time.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Owned engineering coordination for production onboarding across 90+ enterprise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ETL workflows from legacy SSIS to a Kubernetes-backed Spark platform, achieving a 40% reduction in data processing time.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Designed creative layouts and visual design solutions that align to business objectives and brand standards, unblocking design delivery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query decomposition engine (ANTLR) powering performance recommendations and QA user-journey reconstruction.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typography and visual storytelling elements, transforming design layouts across 4 entity types into a structured, brand-consistent knowledge layer.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 two-pass LLM pipeline generating a domain-grounded semantic model (15-cluster knowledge layer).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 skills-based agent framework with deterministic reasoning and runtime semantic retrieval, driving a 60% reduction in query resolution time.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