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CFF72">
      <w:p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И</w:t>
      </w:r>
      <w:r>
        <w:rPr>
          <w:rFonts w:hint="default" w:ascii="Times New Roman" w:hAnsi="Times New Roman" w:eastAsia="SimSun" w:cs="Times New Roman"/>
          <w:sz w:val="32"/>
          <w:szCs w:val="32"/>
        </w:rPr>
        <w:t>нструкци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я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по охране труда программиста.</w:t>
      </w:r>
    </w:p>
    <w:p w14:paraId="7E840529">
      <w:p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20053278">
      <w:pPr>
        <w:ind w:left="480" w:hanging="420" w:hangingChars="150"/>
        <w:jc w:val="left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ссылка: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eastAsia="SimSun"/>
          <w:sz w:val="28"/>
          <w:szCs w:val="28"/>
          <w:lang w:val="ru-RU"/>
        </w:rPr>
        <w:instrText xml:space="preserve"> HYPERLINK "https://maou19mgo.ucoz.ru/kb/ot/2020/37_programist.pdf" </w:instrText>
      </w:r>
      <w:r>
        <w:rPr>
          <w:rFonts w:hint="default" w:ascii="Times New Roman" w:hAnsi="Times New Roman" w:eastAsia="SimSu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eastAsia="SimSun"/>
          <w:sz w:val="28"/>
          <w:szCs w:val="28"/>
          <w:lang w:val="ru-RU"/>
        </w:rPr>
        <w:t>https://maou19mgo.ucoz.ru/kb/ot/2020/37_programist.pdf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</w:t>
      </w:r>
    </w:p>
    <w:p w14:paraId="11D44F0A">
      <w:pPr>
        <w:ind w:left="480" w:hanging="420" w:hangingChars="150"/>
        <w:jc w:val="left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55245</wp:posOffset>
            </wp:positionV>
            <wp:extent cx="1139825" cy="1139825"/>
            <wp:effectExtent l="0" t="0" r="3175" b="3175"/>
            <wp:wrapNone/>
            <wp:docPr id="1" name="Picture 1" descr="Ссылка на ссылку ИСР 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сылка на ссылку ИСР 1.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975C1">
      <w:pPr>
        <w:ind w:left="480" w:hanging="420" w:hangingChars="150"/>
        <w:jc w:val="left"/>
        <w:rPr>
          <w:rFonts w:hint="default" w:ascii="Times New Roman" w:hAnsi="Times New Roman" w:eastAsia="SimSun"/>
          <w:sz w:val="28"/>
          <w:szCs w:val="28"/>
          <w:lang w:val="ru-RU"/>
        </w:rPr>
      </w:pPr>
    </w:p>
    <w:p w14:paraId="5E395019">
      <w:pPr>
        <w:ind w:left="480" w:hanging="420" w:hangingChars="150"/>
        <w:jc w:val="left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qr-code: </w:t>
      </w:r>
    </w:p>
    <w:p w14:paraId="5E8B3C7D">
      <w:pPr>
        <w:ind w:left="480" w:hanging="420" w:hangingChars="150"/>
        <w:jc w:val="left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3A58CB6B">
      <w:pPr>
        <w:ind w:left="480" w:hanging="420" w:hangingChars="150"/>
        <w:jc w:val="left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4EF25699">
      <w:pPr>
        <w:ind w:left="480" w:hanging="420" w:hangingChars="150"/>
        <w:jc w:val="left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05683FFE">
      <w:pPr>
        <w:ind w:left="480" w:hanging="360" w:hangingChars="150"/>
        <w:jc w:val="left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CFD9FC1">
      <w:pPr>
        <w:ind w:left="480" w:hanging="360" w:hangingChars="150"/>
        <w:jc w:val="left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Аннотация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</w:t>
      </w:r>
    </w:p>
    <w:p w14:paraId="1E798503">
      <w:pPr>
        <w:ind w:right="0" w:rightChars="0"/>
        <w:jc w:val="left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Данная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кратко и просто </w:t>
      </w:r>
      <w:r>
        <w:rPr>
          <w:rFonts w:hint="default" w:ascii="Times New Roman" w:hAnsi="Times New Roman" w:eastAsia="SimSun" w:cs="Times New Roman"/>
          <w:sz w:val="24"/>
          <w:szCs w:val="24"/>
        </w:rPr>
        <w:t>описывает общие требования охраны труда для программистов, включая правила перед началом работы, во время работы, в аварийных ситуациях и по окончании работы. Она охватывает такие аспекты, как требования к рабочему месту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так и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 xml:space="preserve"> правила эксплуатации оборудования, меры предосторожности при работе с электрическими устройствами и действия в случае чрезвычайных ситуаций.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2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2025-02-08T15:31:00Z</dcterms:created>
  <dc:creator>Roman</dc:creator>
  <cp:lastModifiedBy>Roman</cp:lastModifiedBy>
  <dcterms:modified xsi:type="dcterms:W3CDTF">2025-02-08T15:38:15Z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4FD2B27759FE47A8BFC6906BC5F03043_12</vt:lpwstr>
  </property>
</Properties>
</file>